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7A8" w:rsidRDefault="00E977A8" w:rsidP="00E977A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 У М А                                                                                                                                        СОЛОНЦОВСКОГО СЕЛЬСКОГО ПОСЕЛЕНИЯ</w:t>
      </w:r>
    </w:p>
    <w:p w:rsidR="00E977A8" w:rsidRDefault="00E977A8" w:rsidP="00E977A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АЛЕКСЕЕВСКОГО МУНИЦИПАЛЬНОГО РАЙОНА</w:t>
      </w:r>
    </w:p>
    <w:p w:rsidR="00E977A8" w:rsidRDefault="00E977A8" w:rsidP="00E977A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ВОЛГОГРАДСКОЙ ОБЛАСТИ</w:t>
      </w:r>
    </w:p>
    <w:p w:rsidR="00E977A8" w:rsidRDefault="00E977A8" w:rsidP="00E977A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27DAF" wp14:editId="48FC8002">
                <wp:simplePos x="0" y="0"/>
                <wp:positionH relativeFrom="column">
                  <wp:posOffset>114300</wp:posOffset>
                </wp:positionH>
                <wp:positionV relativeFrom="paragraph">
                  <wp:posOffset>99060</wp:posOffset>
                </wp:positionV>
                <wp:extent cx="5600700" cy="0"/>
                <wp:effectExtent l="0" t="19050" r="19050" b="3810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" strokeweight="4.5pt">
                <v:stroke linestyle="thinThick"/>
              </v:line>
            </w:pict>
          </mc:Fallback>
        </mc:AlternateContent>
      </w:r>
    </w:p>
    <w:p w:rsidR="00E977A8" w:rsidRDefault="00E977A8" w:rsidP="00E977A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E977A8" w:rsidRDefault="00E977A8" w:rsidP="00E977A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977A8" w:rsidRDefault="00E977A8" w:rsidP="00E977A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eastAsia="ru-RU"/>
        </w:rPr>
        <w:t>Р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Е Ш Е Н И Е</w:t>
      </w:r>
    </w:p>
    <w:p w:rsidR="00E977A8" w:rsidRDefault="00E977A8" w:rsidP="00E977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77A8" w:rsidRDefault="00E977A8" w:rsidP="00E977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77A8" w:rsidRDefault="00E977A8" w:rsidP="00E977A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от </w:t>
      </w:r>
      <w:r w:rsidR="00867D40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6547A9">
        <w:rPr>
          <w:rFonts w:ascii="Arial" w:eastAsia="Times New Roman" w:hAnsi="Arial" w:cs="Arial"/>
          <w:bCs/>
          <w:sz w:val="24"/>
          <w:szCs w:val="24"/>
          <w:lang w:eastAsia="ru-RU"/>
        </w:rPr>
        <w:t>8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.12.202</w:t>
      </w:r>
      <w:r w:rsidR="00867D40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года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                                 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                  № </w:t>
      </w:r>
      <w:r w:rsidR="00867D40">
        <w:rPr>
          <w:rFonts w:ascii="Arial" w:eastAsia="Times New Roman" w:hAnsi="Arial" w:cs="Arial"/>
          <w:bCs/>
          <w:sz w:val="24"/>
          <w:szCs w:val="24"/>
          <w:lang w:eastAsia="ru-RU"/>
        </w:rPr>
        <w:t>8</w:t>
      </w:r>
      <w:r w:rsidR="00486F67">
        <w:rPr>
          <w:rFonts w:ascii="Arial" w:eastAsia="Times New Roman" w:hAnsi="Arial" w:cs="Arial"/>
          <w:bCs/>
          <w:sz w:val="24"/>
          <w:szCs w:val="24"/>
          <w:lang w:eastAsia="ru-RU"/>
        </w:rPr>
        <w:t>7</w:t>
      </w:r>
      <w:r w:rsidR="009A19A9">
        <w:rPr>
          <w:rFonts w:ascii="Arial" w:eastAsia="Times New Roman" w:hAnsi="Arial" w:cs="Arial"/>
          <w:bCs/>
          <w:sz w:val="24"/>
          <w:szCs w:val="24"/>
          <w:lang w:eastAsia="ru-RU"/>
        </w:rPr>
        <w:t>/</w:t>
      </w:r>
      <w:r w:rsidR="002B6414">
        <w:rPr>
          <w:rFonts w:ascii="Arial" w:eastAsia="Times New Roman" w:hAnsi="Arial" w:cs="Arial"/>
          <w:bCs/>
          <w:sz w:val="24"/>
          <w:szCs w:val="24"/>
          <w:lang w:eastAsia="ru-RU"/>
        </w:rPr>
        <w:t>191</w:t>
      </w:r>
    </w:p>
    <w:p w:rsidR="00E977A8" w:rsidRDefault="00E977A8" w:rsidP="00E977A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E977A8" w:rsidRDefault="00E977A8" w:rsidP="00E977A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977A8" w:rsidRDefault="00E977A8" w:rsidP="00E977A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977A8" w:rsidRDefault="00E977A8" w:rsidP="00E977A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Об отчете председателя Контрольно-счетной комиссии</w:t>
      </w:r>
    </w:p>
    <w:p w:rsidR="00E977A8" w:rsidRDefault="00E977A8" w:rsidP="00E977A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Алексеевского муниципального района</w:t>
      </w:r>
    </w:p>
    <w:p w:rsidR="00E977A8" w:rsidRDefault="00E977A8" w:rsidP="00E977A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977A8" w:rsidRDefault="00E977A8" w:rsidP="00E977A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977A8" w:rsidRDefault="00E977A8" w:rsidP="00E977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7A8" w:rsidRDefault="00E977A8" w:rsidP="00E977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Заслушав отчет председателя Контрольно-счетной комиссии Алексеевского муниципального района </w:t>
      </w:r>
      <w:r w:rsidR="00270E2B">
        <w:rPr>
          <w:rFonts w:ascii="Arial" w:eastAsia="Times New Roman" w:hAnsi="Arial" w:cs="Arial"/>
          <w:sz w:val="24"/>
          <w:szCs w:val="24"/>
          <w:lang w:eastAsia="ru-RU"/>
        </w:rPr>
        <w:t>Рябовой М.Н.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«Об использовании межбюджетных трансфертов, направленных на исполнение полномочий по осуществлению внешнего муниципального контроля за 202</w:t>
      </w:r>
      <w:r w:rsidR="00867D40">
        <w:rPr>
          <w:rFonts w:ascii="Arial" w:eastAsia="Times New Roman" w:hAnsi="Arial" w:cs="Arial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год», руководствуясь Уставом Солонцовского сельского поселения, Дума Солонцовского сельского поселения  </w:t>
      </w:r>
    </w:p>
    <w:p w:rsidR="00E977A8" w:rsidRDefault="00E977A8" w:rsidP="00E977A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eastAsia="ru-RU"/>
        </w:rPr>
        <w:t>р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е ш и л а:</w:t>
      </w:r>
    </w:p>
    <w:p w:rsidR="00E977A8" w:rsidRDefault="00E977A8" w:rsidP="00E977A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977A8" w:rsidRDefault="00E977A8" w:rsidP="00E977A8">
      <w:pPr>
        <w:pStyle w:val="a3"/>
        <w:ind w:left="54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1. Принять к сведению информацию, изложенную в докладе об использовании межбюджетных трансфертов, направленных на исполнение полномочий по осуществлению внешнего муниципального контроля за 202</w:t>
      </w:r>
      <w:r w:rsidR="000337B8">
        <w:rPr>
          <w:rFonts w:ascii="Arial" w:hAnsi="Arial" w:cs="Arial"/>
          <w:sz w:val="24"/>
          <w:szCs w:val="24"/>
          <w:lang w:eastAsia="ru-RU"/>
        </w:rPr>
        <w:t>3</w:t>
      </w:r>
      <w:r>
        <w:rPr>
          <w:rFonts w:ascii="Arial" w:hAnsi="Arial" w:cs="Arial"/>
          <w:sz w:val="24"/>
          <w:szCs w:val="24"/>
          <w:lang w:eastAsia="ru-RU"/>
        </w:rPr>
        <w:t xml:space="preserve"> год (прилагается).</w:t>
      </w:r>
    </w:p>
    <w:p w:rsidR="00E977A8" w:rsidRDefault="00E977A8" w:rsidP="00E977A8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E977A8" w:rsidRDefault="00E977A8" w:rsidP="00E977A8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2. Настоящее решение вступает в силу со дня подписания.</w:t>
      </w:r>
    </w:p>
    <w:p w:rsidR="00E977A8" w:rsidRDefault="00E977A8" w:rsidP="00E977A8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E977A8" w:rsidRDefault="00E977A8" w:rsidP="00E977A8">
      <w:pPr>
        <w:pStyle w:val="a3"/>
        <w:jc w:val="both"/>
        <w:rPr>
          <w:b/>
          <w:bCs/>
          <w:lang w:eastAsia="ru-RU"/>
        </w:rPr>
      </w:pPr>
    </w:p>
    <w:p w:rsidR="00E977A8" w:rsidRDefault="00E977A8" w:rsidP="00E977A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E977A8" w:rsidRDefault="00E977A8" w:rsidP="00E977A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E977A8" w:rsidRDefault="00E977A8" w:rsidP="00E977A8">
      <w:pPr>
        <w:spacing w:after="0" w:line="240" w:lineRule="auto"/>
        <w:ind w:right="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</w:p>
    <w:p w:rsidR="00E977A8" w:rsidRDefault="00E977A8" w:rsidP="00E977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Солонцовского                                                 </w:t>
      </w:r>
    </w:p>
    <w:p w:rsidR="00E977A8" w:rsidRDefault="00E977A8" w:rsidP="00E977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сельского поселения                                                                   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Чиков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П.П.</w:t>
      </w:r>
    </w:p>
    <w:p w:rsidR="00E977A8" w:rsidRDefault="00E977A8" w:rsidP="00E977A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977A8" w:rsidRDefault="00E977A8" w:rsidP="00E977A8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</w:p>
    <w:p w:rsidR="00E977A8" w:rsidRDefault="00E977A8" w:rsidP="00E977A8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</w:p>
    <w:p w:rsidR="00E977A8" w:rsidRDefault="00E977A8" w:rsidP="00E977A8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E977A8" w:rsidRDefault="00E977A8" w:rsidP="00E977A8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E977A8" w:rsidRDefault="00E977A8" w:rsidP="00E977A8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E977A8" w:rsidRDefault="00E977A8" w:rsidP="00E977A8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E977A8" w:rsidRDefault="00E977A8" w:rsidP="00E977A8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E977A8" w:rsidRDefault="00E977A8" w:rsidP="00E977A8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E977A8" w:rsidRDefault="00E977A8" w:rsidP="00E977A8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E977A8" w:rsidRDefault="00E977A8" w:rsidP="00E977A8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0808D6" w:rsidRDefault="000808D6"/>
    <w:p w:rsidR="00534ECE" w:rsidRDefault="00534ECE"/>
    <w:p w:rsidR="00534ECE" w:rsidRPr="00534ECE" w:rsidRDefault="00534ECE" w:rsidP="00534EC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32765" cy="652145"/>
            <wp:effectExtent l="0" t="0" r="635" b="0"/>
            <wp:docPr id="1" name="Рисунок 1" descr="Герб 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ECE" w:rsidRPr="00534ECE" w:rsidRDefault="00534ECE" w:rsidP="00534EC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534ECE">
        <w:rPr>
          <w:rFonts w:ascii="Times New Roman" w:eastAsia="Times New Roman" w:hAnsi="Times New Roman"/>
          <w:sz w:val="26"/>
          <w:szCs w:val="26"/>
        </w:rPr>
        <w:t xml:space="preserve">                                  </w:t>
      </w:r>
      <w:r w:rsidRPr="00534ECE">
        <w:rPr>
          <w:rFonts w:ascii="Times New Roman" w:eastAsia="Times New Roman" w:hAnsi="Times New Roman"/>
          <w:b/>
          <w:sz w:val="28"/>
          <w:szCs w:val="28"/>
        </w:rPr>
        <w:t>КОНТРОЛЬНО-СЧЕТНАЯ КОМИССИЯ</w:t>
      </w:r>
    </w:p>
    <w:p w:rsidR="00534ECE" w:rsidRPr="00534ECE" w:rsidRDefault="00534ECE" w:rsidP="00534EC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</w:rPr>
      </w:pPr>
      <w:r w:rsidRPr="00534ECE">
        <w:rPr>
          <w:rFonts w:ascii="Times New Roman" w:eastAsia="Times New Roman" w:hAnsi="Times New Roman"/>
          <w:sz w:val="24"/>
        </w:rPr>
        <w:t xml:space="preserve">АЛЕКСЕЕВСКОГО МУНИЦИПАЛЬНОГО РАЙОНА </w:t>
      </w:r>
    </w:p>
    <w:p w:rsidR="00534ECE" w:rsidRPr="00534ECE" w:rsidRDefault="00534ECE" w:rsidP="00534ECE">
      <w:pPr>
        <w:spacing w:after="0" w:line="240" w:lineRule="auto"/>
        <w:jc w:val="center"/>
        <w:rPr>
          <w:rFonts w:ascii="Times New Roman" w:eastAsia="Times New Roman" w:hAnsi="Times New Roman"/>
          <w:sz w:val="24"/>
        </w:rPr>
      </w:pPr>
      <w:r w:rsidRPr="00534ECE">
        <w:rPr>
          <w:rFonts w:ascii="Times New Roman" w:eastAsia="Times New Roman" w:hAnsi="Times New Roman"/>
          <w:sz w:val="24"/>
        </w:rPr>
        <w:t xml:space="preserve">403241, Волгоградская область, </w:t>
      </w:r>
      <w:proofErr w:type="spellStart"/>
      <w:r w:rsidRPr="00534ECE">
        <w:rPr>
          <w:rFonts w:ascii="Times New Roman" w:eastAsia="Times New Roman" w:hAnsi="Times New Roman"/>
          <w:sz w:val="24"/>
        </w:rPr>
        <w:t>ст</w:t>
      </w:r>
      <w:proofErr w:type="gramStart"/>
      <w:r w:rsidRPr="00534ECE">
        <w:rPr>
          <w:rFonts w:ascii="Times New Roman" w:eastAsia="Times New Roman" w:hAnsi="Times New Roman"/>
          <w:sz w:val="24"/>
        </w:rPr>
        <w:t>.А</w:t>
      </w:r>
      <w:proofErr w:type="gramEnd"/>
      <w:r w:rsidRPr="00534ECE">
        <w:rPr>
          <w:rFonts w:ascii="Times New Roman" w:eastAsia="Times New Roman" w:hAnsi="Times New Roman"/>
          <w:sz w:val="24"/>
        </w:rPr>
        <w:t>лексеевская</w:t>
      </w:r>
      <w:proofErr w:type="spellEnd"/>
      <w:r w:rsidRPr="00534ECE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534ECE">
        <w:rPr>
          <w:rFonts w:ascii="Times New Roman" w:eastAsia="Times New Roman" w:hAnsi="Times New Roman"/>
          <w:sz w:val="24"/>
        </w:rPr>
        <w:t>ул.Ленина</w:t>
      </w:r>
      <w:proofErr w:type="spellEnd"/>
      <w:r w:rsidRPr="00534ECE">
        <w:rPr>
          <w:rFonts w:ascii="Times New Roman" w:eastAsia="Times New Roman" w:hAnsi="Times New Roman"/>
          <w:sz w:val="24"/>
        </w:rPr>
        <w:t>, 39,</w:t>
      </w:r>
    </w:p>
    <w:p w:rsidR="00534ECE" w:rsidRPr="00534ECE" w:rsidRDefault="00534ECE" w:rsidP="00534EC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34ECE">
        <w:rPr>
          <w:rFonts w:ascii="Times New Roman" w:eastAsia="Times New Roman" w:hAnsi="Times New Roman"/>
          <w:sz w:val="24"/>
          <w:szCs w:val="24"/>
          <w:lang w:eastAsia="ru-RU"/>
        </w:rPr>
        <w:t>ОГРН 1123457000039, ИНН/КПП 3401007577/340101001</w:t>
      </w:r>
    </w:p>
    <w:p w:rsidR="00534ECE" w:rsidRPr="00534ECE" w:rsidRDefault="00534ECE" w:rsidP="00534EC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534ECE"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                 </w:t>
      </w:r>
    </w:p>
    <w:p w:rsidR="00534ECE" w:rsidRPr="00534ECE" w:rsidRDefault="00534ECE" w:rsidP="00534ECE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534ECE"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                                 Председателю Думы </w:t>
      </w:r>
    </w:p>
    <w:p w:rsidR="00534ECE" w:rsidRPr="00534ECE" w:rsidRDefault="00534ECE" w:rsidP="00534EC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534ECE"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                                Солонцовского сельского поселения</w:t>
      </w:r>
    </w:p>
    <w:p w:rsidR="00534ECE" w:rsidRPr="00534ECE" w:rsidRDefault="00534ECE" w:rsidP="00534ECE">
      <w:pPr>
        <w:tabs>
          <w:tab w:val="left" w:pos="195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34EC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П.П. </w:t>
      </w:r>
      <w:proofErr w:type="spellStart"/>
      <w:r w:rsidRPr="00534ECE">
        <w:rPr>
          <w:rFonts w:ascii="Times New Roman" w:eastAsia="Times New Roman" w:hAnsi="Times New Roman"/>
          <w:sz w:val="26"/>
          <w:szCs w:val="26"/>
          <w:lang w:eastAsia="ru-RU"/>
        </w:rPr>
        <w:t>Чикову</w:t>
      </w:r>
      <w:proofErr w:type="spellEnd"/>
    </w:p>
    <w:p w:rsidR="00534ECE" w:rsidRPr="00534ECE" w:rsidRDefault="00534ECE" w:rsidP="00534ECE">
      <w:pPr>
        <w:tabs>
          <w:tab w:val="left" w:pos="195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34ECE">
        <w:rPr>
          <w:rFonts w:ascii="Times New Roman" w:eastAsia="Times New Roman" w:hAnsi="Times New Roman"/>
          <w:sz w:val="26"/>
          <w:szCs w:val="26"/>
          <w:lang w:eastAsia="ru-RU"/>
        </w:rPr>
        <w:tab/>
        <w:t>от 27.11.2023г.</w:t>
      </w:r>
    </w:p>
    <w:p w:rsidR="00534ECE" w:rsidRPr="00534ECE" w:rsidRDefault="00534ECE" w:rsidP="00534ECE">
      <w:pPr>
        <w:spacing w:after="0" w:line="240" w:lineRule="auto"/>
        <w:ind w:left="567" w:right="566"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34ECE" w:rsidRPr="00534ECE" w:rsidRDefault="00534ECE" w:rsidP="00534ECE">
      <w:pPr>
        <w:spacing w:after="0" w:line="240" w:lineRule="auto"/>
        <w:ind w:left="567" w:right="566"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34EC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ЭКСПЕРТИЗА</w:t>
      </w:r>
    </w:p>
    <w:p w:rsidR="00534ECE" w:rsidRPr="00534ECE" w:rsidRDefault="00534ECE" w:rsidP="00534ECE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</w:pPr>
      <w:r w:rsidRPr="00534ECE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проекта решения «О бюджете Солонцовского сельского поселения Алексеевского муниципального района на 2024 год и на плановый период 2025 и 2026 годов»</w:t>
      </w:r>
    </w:p>
    <w:p w:rsidR="00534ECE" w:rsidRPr="00534ECE" w:rsidRDefault="00534ECE" w:rsidP="00534ECE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</w:pPr>
    </w:p>
    <w:p w:rsidR="00534ECE" w:rsidRPr="00534ECE" w:rsidRDefault="00534ECE" w:rsidP="00534ECE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534E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Экспертиза проекта решения «О бюджете Солонцовского</w:t>
      </w:r>
      <w:r w:rsidRPr="00534EC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</w:t>
      </w:r>
      <w:r w:rsidRPr="00534E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Алексеевского муниципального района Волгоградской области на 2024 год и на плановый период 2025 и 2026 годов» (далее – местный бюджет) подготовлена Контрольно-счетной комиссией Алексеевского муниципального района с учетом требований Бюджетного кодекса РФ (далее - БК РФ), Положения о бюджетном процессе в Солонцовском </w:t>
      </w:r>
      <w:r w:rsidRPr="00534EC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сельском поселении </w:t>
      </w:r>
      <w:r w:rsidRPr="00534E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Алексеевского муниципального района, утвержденного решением Думы</w:t>
      </w:r>
      <w:r w:rsidRPr="00534EC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534E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Солонцовского сельского поседения (далее</w:t>
      </w:r>
      <w:proofErr w:type="gramEnd"/>
      <w:r w:rsidRPr="00534E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</w:t>
      </w:r>
      <w:proofErr w:type="gramStart"/>
      <w:r w:rsidRPr="00534E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Дума поселения) </w:t>
      </w:r>
      <w:r w:rsidRPr="00534E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 20.12.2021г. №45/105</w:t>
      </w:r>
      <w:r w:rsidRPr="00534E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(с изменениями от </w:t>
      </w:r>
      <w:r w:rsidRPr="00534EC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22.06.2022г. №55/134, 15.05.2023г. № 73/169</w:t>
      </w:r>
      <w:r w:rsidRPr="00534E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далее – положение о бюджетный процессе), Положения о контрольном органе Алексеевского муниципального района, утвержденного Постановлением Алексеевской районной  Думы от 08  ноября 2021 года № 33/220 (далее Положение о контрольном органе), на основании Соглашения о передаче отдельных полномочий по осуществлению внешнего муниципального контроля, заключенному</w:t>
      </w:r>
      <w:proofErr w:type="gramEnd"/>
      <w:r w:rsidRPr="00534E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17.03.2022г. №1 и иных нормативно-правовых актов, действующих на территории Солонцовского сельского поселения.</w:t>
      </w:r>
    </w:p>
    <w:tbl>
      <w:tblPr>
        <w:tblW w:w="9939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3557"/>
        <w:gridCol w:w="2159"/>
        <w:gridCol w:w="1101"/>
        <w:gridCol w:w="1134"/>
        <w:gridCol w:w="1418"/>
      </w:tblGrid>
      <w:tr w:rsidR="00534ECE" w:rsidRPr="00534ECE" w:rsidTr="00D8777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70" w:type="dxa"/>
          </w:tcPr>
          <w:p w:rsidR="00534ECE" w:rsidRPr="00534ECE" w:rsidRDefault="00534ECE" w:rsidP="00534EC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57" w:type="dxa"/>
          </w:tcPr>
          <w:p w:rsidR="00534ECE" w:rsidRPr="00534ECE" w:rsidRDefault="00534ECE" w:rsidP="00534EC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показатели</w:t>
            </w:r>
          </w:p>
          <w:p w:rsidR="00534ECE" w:rsidRPr="00534ECE" w:rsidRDefault="00534ECE" w:rsidP="00534EC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по проверке проекта решения</w:t>
            </w:r>
          </w:p>
        </w:tc>
        <w:tc>
          <w:tcPr>
            <w:tcW w:w="2159" w:type="dxa"/>
          </w:tcPr>
          <w:p w:rsidR="00534ECE" w:rsidRPr="00534ECE" w:rsidRDefault="00534ECE" w:rsidP="00534EC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норма законодательства</w:t>
            </w:r>
          </w:p>
        </w:tc>
        <w:tc>
          <w:tcPr>
            <w:tcW w:w="3653" w:type="dxa"/>
            <w:gridSpan w:val="3"/>
          </w:tcPr>
          <w:p w:rsidR="00534ECE" w:rsidRPr="00534ECE" w:rsidRDefault="00534ECE" w:rsidP="00534EC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результат</w:t>
            </w:r>
          </w:p>
        </w:tc>
      </w:tr>
      <w:tr w:rsidR="00534ECE" w:rsidRPr="00534ECE" w:rsidTr="00D8777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70" w:type="dxa"/>
            <w:vAlign w:val="center"/>
          </w:tcPr>
          <w:p w:rsidR="00534ECE" w:rsidRPr="00534ECE" w:rsidRDefault="00534ECE" w:rsidP="00534ECE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7" w:type="dxa"/>
            <w:vAlign w:val="center"/>
          </w:tcPr>
          <w:p w:rsidR="00534ECE" w:rsidRPr="00534ECE" w:rsidRDefault="00534ECE" w:rsidP="00534ECE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Срок направления проекта решения о бюджете на 2024-2026 годы в Думу</w:t>
            </w:r>
          </w:p>
        </w:tc>
        <w:tc>
          <w:tcPr>
            <w:tcW w:w="2159" w:type="dxa"/>
            <w:vAlign w:val="center"/>
          </w:tcPr>
          <w:p w:rsidR="00534ECE" w:rsidRPr="00534ECE" w:rsidRDefault="00534ECE" w:rsidP="00534EC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п. 1 ст. 185 БК РФ</w:t>
            </w:r>
          </w:p>
          <w:p w:rsidR="00534ECE" w:rsidRPr="00534ECE" w:rsidRDefault="00534ECE" w:rsidP="00534EC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п. 1 ст. 12</w:t>
            </w: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Бюджетного процесса в с/</w:t>
            </w:r>
            <w:proofErr w:type="gramStart"/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3653" w:type="dxa"/>
            <w:gridSpan w:val="3"/>
            <w:vAlign w:val="center"/>
          </w:tcPr>
          <w:p w:rsidR="00534ECE" w:rsidRPr="00534ECE" w:rsidRDefault="00534ECE" w:rsidP="00534ECE">
            <w:pPr>
              <w:spacing w:after="0" w:line="240" w:lineRule="auto"/>
              <w:ind w:right="-2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не позднее 15 ноября</w:t>
            </w:r>
          </w:p>
          <w:p w:rsidR="00534ECE" w:rsidRPr="00534ECE" w:rsidRDefault="00534ECE" w:rsidP="00534ECE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распоряжение администрации от 14.11.23г. № 40</w:t>
            </w:r>
          </w:p>
        </w:tc>
      </w:tr>
      <w:tr w:rsidR="00534ECE" w:rsidRPr="00534ECE" w:rsidTr="00D8777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70" w:type="dxa"/>
            <w:vAlign w:val="center"/>
          </w:tcPr>
          <w:p w:rsidR="00534ECE" w:rsidRPr="00534ECE" w:rsidRDefault="00534ECE" w:rsidP="00534ECE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7" w:type="dxa"/>
            <w:vAlign w:val="center"/>
          </w:tcPr>
          <w:p w:rsidR="00534ECE" w:rsidRPr="00534ECE" w:rsidRDefault="00534ECE" w:rsidP="00534ECE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Одобрение Прогноза СЭР поселения</w:t>
            </w:r>
          </w:p>
        </w:tc>
        <w:tc>
          <w:tcPr>
            <w:tcW w:w="2159" w:type="dxa"/>
            <w:vAlign w:val="center"/>
          </w:tcPr>
          <w:p w:rsidR="00534ECE" w:rsidRPr="00534ECE" w:rsidRDefault="00534ECE" w:rsidP="00534EC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п. 3 ст. 173 БК РФ</w:t>
            </w:r>
          </w:p>
          <w:p w:rsidR="00534ECE" w:rsidRPr="00534ECE" w:rsidRDefault="00534ECE" w:rsidP="00534EC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ст.10 Бюджетного процесса в с/</w:t>
            </w:r>
            <w:proofErr w:type="gramStart"/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3653" w:type="dxa"/>
            <w:gridSpan w:val="3"/>
            <w:vAlign w:val="center"/>
          </w:tcPr>
          <w:p w:rsidR="00534ECE" w:rsidRPr="00534ECE" w:rsidRDefault="00534ECE" w:rsidP="00534ECE">
            <w:pPr>
              <w:spacing w:after="0" w:line="240" w:lineRule="auto"/>
              <w:ind w:right="-2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Постановление администрации  от 13.11.2023г. № 52/1</w:t>
            </w:r>
          </w:p>
        </w:tc>
      </w:tr>
      <w:tr w:rsidR="00534ECE" w:rsidRPr="00534ECE" w:rsidTr="00D87775">
        <w:tblPrEx>
          <w:tblCellMar>
            <w:top w:w="0" w:type="dxa"/>
            <w:bottom w:w="0" w:type="dxa"/>
          </w:tblCellMar>
        </w:tblPrEx>
        <w:trPr>
          <w:trHeight w:val="1509"/>
        </w:trPr>
        <w:tc>
          <w:tcPr>
            <w:tcW w:w="570" w:type="dxa"/>
            <w:vAlign w:val="center"/>
          </w:tcPr>
          <w:p w:rsidR="00534ECE" w:rsidRPr="00534ECE" w:rsidRDefault="00534ECE" w:rsidP="00534ECE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7" w:type="dxa"/>
            <w:vAlign w:val="center"/>
          </w:tcPr>
          <w:p w:rsidR="00534ECE" w:rsidRPr="00534ECE" w:rsidRDefault="00534ECE" w:rsidP="00534ECE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Принятие МПА о назначение публичных слушаний по проекту решения</w:t>
            </w:r>
          </w:p>
        </w:tc>
        <w:tc>
          <w:tcPr>
            <w:tcW w:w="2159" w:type="dxa"/>
            <w:vAlign w:val="center"/>
          </w:tcPr>
          <w:p w:rsidR="00534ECE" w:rsidRPr="00534ECE" w:rsidRDefault="00534ECE" w:rsidP="00534EC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п.1ст. 11</w:t>
            </w: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Бюджетного процесса в с/</w:t>
            </w:r>
            <w:proofErr w:type="gramStart"/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gramEnd"/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r w:rsidRPr="00534EC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п.2.6 ст.2</w:t>
            </w:r>
          </w:p>
          <w:p w:rsidR="00534ECE" w:rsidRPr="00534ECE" w:rsidRDefault="00534ECE" w:rsidP="00534EC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положение о порядке орг. и </w:t>
            </w:r>
            <w:proofErr w:type="spellStart"/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пров</w:t>
            </w:r>
            <w:proofErr w:type="spellEnd"/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  <w:proofErr w:type="spellStart"/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пуб</w:t>
            </w:r>
            <w:proofErr w:type="spellEnd"/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  <w:proofErr w:type="spellStart"/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слуш</w:t>
            </w:r>
            <w:proofErr w:type="spellEnd"/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в </w:t>
            </w:r>
            <w:proofErr w:type="spellStart"/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сп</w:t>
            </w:r>
            <w:proofErr w:type="spellEnd"/>
          </w:p>
        </w:tc>
        <w:tc>
          <w:tcPr>
            <w:tcW w:w="3653" w:type="dxa"/>
            <w:gridSpan w:val="3"/>
            <w:vAlign w:val="center"/>
          </w:tcPr>
          <w:p w:rsidR="00534ECE" w:rsidRPr="00534ECE" w:rsidRDefault="00534ECE" w:rsidP="00534ECE">
            <w:pPr>
              <w:spacing w:after="0" w:line="240" w:lineRule="auto"/>
              <w:ind w:right="-2"/>
              <w:rPr>
                <w:rFonts w:ascii="Times New Roman" w:eastAsia="Times New Roman" w:hAnsi="Times New Roman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lang w:eastAsia="ru-RU"/>
              </w:rPr>
              <w:t>распоряжение администрации от 14.11.2023г. № 41</w:t>
            </w:r>
          </w:p>
          <w:p w:rsidR="00534ECE" w:rsidRPr="00534ECE" w:rsidRDefault="00534ECE" w:rsidP="00534E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</w:rPr>
            </w:pPr>
          </w:p>
        </w:tc>
      </w:tr>
      <w:tr w:rsidR="00534ECE" w:rsidRPr="00534ECE" w:rsidTr="00D8777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70" w:type="dxa"/>
            <w:vAlign w:val="center"/>
          </w:tcPr>
          <w:p w:rsidR="00534ECE" w:rsidRPr="00534ECE" w:rsidRDefault="00534ECE" w:rsidP="00534ECE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7" w:type="dxa"/>
            <w:vAlign w:val="center"/>
          </w:tcPr>
          <w:p w:rsidR="00534ECE" w:rsidRPr="00534ECE" w:rsidRDefault="00534ECE" w:rsidP="00534ECE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Опубликование (обнародование) проекта решения</w:t>
            </w:r>
          </w:p>
        </w:tc>
        <w:tc>
          <w:tcPr>
            <w:tcW w:w="2159" w:type="dxa"/>
            <w:vAlign w:val="center"/>
          </w:tcPr>
          <w:p w:rsidR="00534ECE" w:rsidRPr="00534ECE" w:rsidRDefault="00534ECE" w:rsidP="00534EC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п. 6 ст. 52</w:t>
            </w:r>
          </w:p>
          <w:p w:rsidR="00534ECE" w:rsidRPr="00534ECE" w:rsidRDefault="00534ECE" w:rsidP="00534EC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Закона № 131-ФЗ</w:t>
            </w:r>
          </w:p>
        </w:tc>
        <w:tc>
          <w:tcPr>
            <w:tcW w:w="3653" w:type="dxa"/>
            <w:gridSpan w:val="3"/>
            <w:vAlign w:val="center"/>
          </w:tcPr>
          <w:p w:rsidR="00534ECE" w:rsidRPr="00534ECE" w:rsidRDefault="00534ECE" w:rsidP="00534ECE">
            <w:pPr>
              <w:spacing w:after="0" w:line="240" w:lineRule="auto"/>
              <w:ind w:right="-2"/>
              <w:rPr>
                <w:rFonts w:ascii="Times New Roman" w:eastAsia="Times New Roman" w:hAnsi="Times New Roman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lang w:eastAsia="ru-RU"/>
              </w:rPr>
              <w:t xml:space="preserve">«Алексеевский вестник» от  20.11.2023г. </w:t>
            </w:r>
          </w:p>
        </w:tc>
      </w:tr>
      <w:tr w:rsidR="00534ECE" w:rsidRPr="00534ECE" w:rsidTr="00D8777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70" w:type="dxa"/>
            <w:vAlign w:val="center"/>
          </w:tcPr>
          <w:p w:rsidR="00534ECE" w:rsidRPr="00534ECE" w:rsidRDefault="00534ECE" w:rsidP="00534ECE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7" w:type="dxa"/>
            <w:vAlign w:val="center"/>
          </w:tcPr>
          <w:p w:rsidR="00534ECE" w:rsidRPr="00534ECE" w:rsidRDefault="00534ECE" w:rsidP="00534ECE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Соответствие срока назначения публичных слушаний согласно МПА</w:t>
            </w:r>
          </w:p>
        </w:tc>
        <w:tc>
          <w:tcPr>
            <w:tcW w:w="2159" w:type="dxa"/>
            <w:vAlign w:val="center"/>
          </w:tcPr>
          <w:p w:rsidR="00534ECE" w:rsidRPr="00534ECE" w:rsidRDefault="00534ECE" w:rsidP="00534EC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ст. 13</w:t>
            </w: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Бюджетного процесса в с/</w:t>
            </w:r>
            <w:proofErr w:type="gramStart"/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gramEnd"/>
          </w:p>
          <w:p w:rsidR="00534ECE" w:rsidRPr="00534ECE" w:rsidRDefault="00534ECE" w:rsidP="00534EC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п.2.9 </w:t>
            </w:r>
          </w:p>
          <w:p w:rsidR="00534ECE" w:rsidRPr="00534ECE" w:rsidRDefault="00534ECE" w:rsidP="00534EC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положение </w:t>
            </w:r>
            <w:proofErr w:type="spellStart"/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опорядке</w:t>
            </w:r>
            <w:proofErr w:type="spellEnd"/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орг. и </w:t>
            </w:r>
            <w:proofErr w:type="spellStart"/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пров</w:t>
            </w:r>
            <w:proofErr w:type="spellEnd"/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  <w:proofErr w:type="spellStart"/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пуб</w:t>
            </w:r>
            <w:proofErr w:type="spellEnd"/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  <w:proofErr w:type="spellStart"/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слуш</w:t>
            </w:r>
            <w:proofErr w:type="spellEnd"/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в </w:t>
            </w:r>
            <w:proofErr w:type="spellStart"/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сп</w:t>
            </w:r>
            <w:proofErr w:type="spellEnd"/>
          </w:p>
        </w:tc>
        <w:tc>
          <w:tcPr>
            <w:tcW w:w="3653" w:type="dxa"/>
            <w:gridSpan w:val="3"/>
            <w:vAlign w:val="center"/>
          </w:tcPr>
          <w:p w:rsidR="00534ECE" w:rsidRPr="00534ECE" w:rsidRDefault="00534ECE" w:rsidP="00534ECE">
            <w:pPr>
              <w:spacing w:after="0" w:line="240" w:lineRule="auto"/>
              <w:ind w:right="-2"/>
              <w:rPr>
                <w:rFonts w:ascii="Times New Roman" w:eastAsia="Times New Roman" w:hAnsi="Times New Roman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lang w:eastAsia="ru-RU"/>
              </w:rPr>
              <w:t>распоряжение администрации от 14.11.2023г. №41</w:t>
            </w:r>
          </w:p>
          <w:p w:rsidR="00534ECE" w:rsidRPr="00534ECE" w:rsidRDefault="00534ECE" w:rsidP="00534ECE">
            <w:pPr>
              <w:spacing w:after="0" w:line="240" w:lineRule="auto"/>
              <w:ind w:right="-2"/>
              <w:rPr>
                <w:rFonts w:ascii="Times New Roman" w:eastAsia="Times New Roman" w:hAnsi="Times New Roman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lang w:eastAsia="ru-RU"/>
              </w:rPr>
              <w:t xml:space="preserve">на 17.12.2023г., что </w:t>
            </w:r>
            <w:r w:rsidRPr="00534EC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соответствует сроку</w:t>
            </w:r>
          </w:p>
          <w:p w:rsidR="00534ECE" w:rsidRPr="00534ECE" w:rsidRDefault="00534ECE" w:rsidP="00534EC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34ECE">
              <w:rPr>
                <w:rFonts w:ascii="Times New Roman" w:eastAsia="Times New Roman" w:hAnsi="Times New Roman"/>
              </w:rPr>
              <w:t>не позднее 30 дней до даты проведения публичных слушаний.</w:t>
            </w:r>
          </w:p>
        </w:tc>
      </w:tr>
      <w:tr w:rsidR="00534ECE" w:rsidRPr="00534ECE" w:rsidTr="00D8777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70" w:type="dxa"/>
            <w:vAlign w:val="center"/>
          </w:tcPr>
          <w:p w:rsidR="00534ECE" w:rsidRPr="00534ECE" w:rsidRDefault="00534ECE" w:rsidP="00534ECE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57" w:type="dxa"/>
            <w:vAlign w:val="center"/>
          </w:tcPr>
          <w:p w:rsidR="00534ECE" w:rsidRPr="00534ECE" w:rsidRDefault="00534ECE" w:rsidP="00534ECE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документы и материалы, представленные одновременно с проектом бюджета</w:t>
            </w:r>
          </w:p>
        </w:tc>
        <w:tc>
          <w:tcPr>
            <w:tcW w:w="2159" w:type="dxa"/>
            <w:vAlign w:val="center"/>
          </w:tcPr>
          <w:p w:rsidR="00534ECE" w:rsidRPr="00534ECE" w:rsidRDefault="00534ECE" w:rsidP="00534EC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ст. 184.2 </w:t>
            </w: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БК РФ</w:t>
            </w:r>
          </w:p>
          <w:p w:rsidR="00534ECE" w:rsidRPr="00534ECE" w:rsidRDefault="00534ECE" w:rsidP="00534EC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п.2 ст.10</w:t>
            </w:r>
          </w:p>
          <w:p w:rsidR="00534ECE" w:rsidRPr="00534ECE" w:rsidRDefault="00534ECE" w:rsidP="00534EC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Бюджетный процесс в с/</w:t>
            </w:r>
            <w:proofErr w:type="gramStart"/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3653" w:type="dxa"/>
            <w:gridSpan w:val="3"/>
            <w:vAlign w:val="center"/>
          </w:tcPr>
          <w:p w:rsidR="00534ECE" w:rsidRPr="00534ECE" w:rsidRDefault="00534ECE" w:rsidP="00534ECE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bCs/>
                <w:lang w:eastAsia="ru-RU"/>
              </w:rPr>
              <w:t xml:space="preserve">в основном </w:t>
            </w:r>
            <w:proofErr w:type="gramStart"/>
            <w:r w:rsidRPr="00534ECE">
              <w:rPr>
                <w:rFonts w:ascii="Times New Roman" w:eastAsia="Times New Roman" w:hAnsi="Times New Roman"/>
                <w:bCs/>
                <w:lang w:eastAsia="ru-RU"/>
              </w:rPr>
              <w:t>предоставлены</w:t>
            </w:r>
            <w:proofErr w:type="gramEnd"/>
            <w:r w:rsidRPr="00534ECE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  <w:p w:rsidR="00534ECE" w:rsidRPr="00534ECE" w:rsidRDefault="00534ECE" w:rsidP="00534ECE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534ECE" w:rsidRPr="00534ECE" w:rsidTr="00D8777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70" w:type="dxa"/>
            <w:vAlign w:val="center"/>
          </w:tcPr>
          <w:p w:rsidR="00534ECE" w:rsidRPr="00534ECE" w:rsidRDefault="00534ECE" w:rsidP="00534ECE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57" w:type="dxa"/>
            <w:vAlign w:val="center"/>
          </w:tcPr>
          <w:p w:rsidR="00534ECE" w:rsidRPr="00534ECE" w:rsidRDefault="00534ECE" w:rsidP="00534ECE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Основные характеристики бюджета в решающей части</w:t>
            </w:r>
          </w:p>
        </w:tc>
        <w:tc>
          <w:tcPr>
            <w:tcW w:w="2159" w:type="dxa"/>
            <w:vAlign w:val="center"/>
          </w:tcPr>
          <w:p w:rsidR="00534ECE" w:rsidRPr="00534ECE" w:rsidRDefault="00534ECE" w:rsidP="00534EC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ст. 184.1 БК РФ</w:t>
            </w:r>
          </w:p>
        </w:tc>
        <w:tc>
          <w:tcPr>
            <w:tcW w:w="3653" w:type="dxa"/>
            <w:gridSpan w:val="3"/>
            <w:vAlign w:val="center"/>
          </w:tcPr>
          <w:p w:rsidR="00534ECE" w:rsidRPr="00534ECE" w:rsidRDefault="00534ECE" w:rsidP="00534ECE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Показатели отражены, верно.</w:t>
            </w:r>
          </w:p>
          <w:p w:rsidR="00534ECE" w:rsidRPr="00534ECE" w:rsidRDefault="00534ECE" w:rsidP="00534ECE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34ECE" w:rsidRPr="00534ECE" w:rsidTr="00D8777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0" w:type="dxa"/>
            <w:vMerge w:val="restart"/>
            <w:vAlign w:val="center"/>
          </w:tcPr>
          <w:p w:rsidR="00534ECE" w:rsidRPr="00534ECE" w:rsidRDefault="00534ECE" w:rsidP="00534ECE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34ECE" w:rsidRPr="00534ECE" w:rsidRDefault="00534ECE" w:rsidP="00534ECE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57" w:type="dxa"/>
            <w:vMerge w:val="restart"/>
            <w:vAlign w:val="center"/>
          </w:tcPr>
          <w:p w:rsidR="00534ECE" w:rsidRPr="00534ECE" w:rsidRDefault="00534ECE" w:rsidP="00534ECE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Основные характеристики местного бюджета, доходы (тыс. руб.)</w:t>
            </w:r>
          </w:p>
          <w:p w:rsidR="00534ECE" w:rsidRPr="00534ECE" w:rsidRDefault="00534ECE" w:rsidP="00534ECE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</w:t>
            </w:r>
            <w:proofErr w:type="spellStart"/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proofErr w:type="gramStart"/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.ч</w:t>
            </w:r>
            <w:proofErr w:type="spellEnd"/>
            <w:proofErr w:type="gramEnd"/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собственные </w:t>
            </w:r>
          </w:p>
          <w:p w:rsidR="00534ECE" w:rsidRPr="00534ECE" w:rsidRDefault="00534ECE" w:rsidP="00534ECE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межбюджетные трансферты     </w:t>
            </w:r>
          </w:p>
        </w:tc>
        <w:tc>
          <w:tcPr>
            <w:tcW w:w="2159" w:type="dxa"/>
            <w:vMerge w:val="restart"/>
            <w:vAlign w:val="center"/>
          </w:tcPr>
          <w:p w:rsidR="00534ECE" w:rsidRPr="00534ECE" w:rsidRDefault="00534ECE" w:rsidP="00534EC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приложения к проекту решения трехлетнего бюджета</w:t>
            </w:r>
          </w:p>
        </w:tc>
        <w:tc>
          <w:tcPr>
            <w:tcW w:w="1101" w:type="dxa"/>
            <w:vAlign w:val="center"/>
          </w:tcPr>
          <w:p w:rsidR="00534ECE" w:rsidRPr="00534ECE" w:rsidRDefault="00534ECE" w:rsidP="00534ECE">
            <w:pPr>
              <w:tabs>
                <w:tab w:val="left" w:pos="99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134" w:type="dxa"/>
            <w:vAlign w:val="center"/>
          </w:tcPr>
          <w:p w:rsidR="00534ECE" w:rsidRPr="00534ECE" w:rsidRDefault="00534ECE" w:rsidP="00534ECE">
            <w:pPr>
              <w:tabs>
                <w:tab w:val="left" w:pos="99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418" w:type="dxa"/>
            <w:vAlign w:val="center"/>
          </w:tcPr>
          <w:p w:rsidR="00534ECE" w:rsidRPr="00534ECE" w:rsidRDefault="00534ECE" w:rsidP="00534ECE">
            <w:pPr>
              <w:tabs>
                <w:tab w:val="left" w:pos="99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</w:tr>
      <w:tr w:rsidR="00534ECE" w:rsidRPr="00534ECE" w:rsidTr="00D87775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70" w:type="dxa"/>
            <w:vMerge/>
            <w:vAlign w:val="center"/>
          </w:tcPr>
          <w:p w:rsidR="00534ECE" w:rsidRPr="00534ECE" w:rsidRDefault="00534ECE" w:rsidP="00534ECE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7" w:type="dxa"/>
            <w:vMerge/>
            <w:vAlign w:val="center"/>
          </w:tcPr>
          <w:p w:rsidR="00534ECE" w:rsidRPr="00534ECE" w:rsidRDefault="00534ECE" w:rsidP="00534ECE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9" w:type="dxa"/>
            <w:vMerge/>
            <w:vAlign w:val="center"/>
          </w:tcPr>
          <w:p w:rsidR="00534ECE" w:rsidRPr="00534ECE" w:rsidRDefault="00534ECE" w:rsidP="00534EC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01" w:type="dxa"/>
            <w:vAlign w:val="center"/>
          </w:tcPr>
          <w:p w:rsidR="00534ECE" w:rsidRPr="00534ECE" w:rsidRDefault="00534ECE" w:rsidP="00534ECE">
            <w:pPr>
              <w:tabs>
                <w:tab w:val="left" w:pos="99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5394,25</w:t>
            </w:r>
          </w:p>
        </w:tc>
        <w:tc>
          <w:tcPr>
            <w:tcW w:w="1134" w:type="dxa"/>
            <w:vAlign w:val="center"/>
          </w:tcPr>
          <w:p w:rsidR="00534ECE" w:rsidRPr="00534ECE" w:rsidRDefault="00534ECE" w:rsidP="00534ECE">
            <w:pPr>
              <w:tabs>
                <w:tab w:val="left" w:pos="99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5465,65</w:t>
            </w:r>
          </w:p>
        </w:tc>
        <w:tc>
          <w:tcPr>
            <w:tcW w:w="1418" w:type="dxa"/>
            <w:vAlign w:val="center"/>
          </w:tcPr>
          <w:p w:rsidR="00534ECE" w:rsidRPr="00534ECE" w:rsidRDefault="00534ECE" w:rsidP="00534ECE">
            <w:pPr>
              <w:tabs>
                <w:tab w:val="left" w:pos="99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5548,05</w:t>
            </w:r>
          </w:p>
        </w:tc>
      </w:tr>
      <w:tr w:rsidR="00534ECE" w:rsidRPr="00534ECE" w:rsidTr="00D87775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70" w:type="dxa"/>
            <w:vMerge/>
            <w:vAlign w:val="center"/>
          </w:tcPr>
          <w:p w:rsidR="00534ECE" w:rsidRPr="00534ECE" w:rsidRDefault="00534ECE" w:rsidP="00534ECE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7" w:type="dxa"/>
            <w:vMerge/>
            <w:vAlign w:val="center"/>
          </w:tcPr>
          <w:p w:rsidR="00534ECE" w:rsidRPr="00534ECE" w:rsidRDefault="00534ECE" w:rsidP="00534ECE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9" w:type="dxa"/>
            <w:vMerge/>
            <w:vAlign w:val="center"/>
          </w:tcPr>
          <w:p w:rsidR="00534ECE" w:rsidRPr="00534ECE" w:rsidRDefault="00534ECE" w:rsidP="00534EC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01" w:type="dxa"/>
            <w:vAlign w:val="center"/>
          </w:tcPr>
          <w:p w:rsidR="00534ECE" w:rsidRPr="00534ECE" w:rsidRDefault="00534ECE" w:rsidP="00534ECE">
            <w:pPr>
              <w:tabs>
                <w:tab w:val="left" w:pos="99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2537,0</w:t>
            </w:r>
          </w:p>
        </w:tc>
        <w:tc>
          <w:tcPr>
            <w:tcW w:w="1134" w:type="dxa"/>
            <w:vAlign w:val="center"/>
          </w:tcPr>
          <w:p w:rsidR="00534ECE" w:rsidRPr="00534ECE" w:rsidRDefault="00534ECE" w:rsidP="00534ECE">
            <w:pPr>
              <w:tabs>
                <w:tab w:val="left" w:pos="99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2599,8</w:t>
            </w:r>
          </w:p>
        </w:tc>
        <w:tc>
          <w:tcPr>
            <w:tcW w:w="1418" w:type="dxa"/>
            <w:vAlign w:val="center"/>
          </w:tcPr>
          <w:p w:rsidR="00534ECE" w:rsidRPr="00534ECE" w:rsidRDefault="00534ECE" w:rsidP="00534ECE">
            <w:pPr>
              <w:tabs>
                <w:tab w:val="left" w:pos="99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2673,2</w:t>
            </w:r>
          </w:p>
        </w:tc>
      </w:tr>
      <w:tr w:rsidR="00534ECE" w:rsidRPr="00534ECE" w:rsidTr="00D87775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570" w:type="dxa"/>
            <w:vMerge/>
            <w:vAlign w:val="center"/>
          </w:tcPr>
          <w:p w:rsidR="00534ECE" w:rsidRPr="00534ECE" w:rsidRDefault="00534ECE" w:rsidP="00534ECE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7" w:type="dxa"/>
            <w:vMerge/>
            <w:vAlign w:val="center"/>
          </w:tcPr>
          <w:p w:rsidR="00534ECE" w:rsidRPr="00534ECE" w:rsidRDefault="00534ECE" w:rsidP="00534ECE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9" w:type="dxa"/>
            <w:vMerge/>
            <w:vAlign w:val="center"/>
          </w:tcPr>
          <w:p w:rsidR="00534ECE" w:rsidRPr="00534ECE" w:rsidRDefault="00534ECE" w:rsidP="00534EC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01" w:type="dxa"/>
            <w:vAlign w:val="center"/>
          </w:tcPr>
          <w:p w:rsidR="00534ECE" w:rsidRPr="00534ECE" w:rsidRDefault="00534ECE" w:rsidP="00534ECE">
            <w:pPr>
              <w:tabs>
                <w:tab w:val="left" w:pos="993"/>
              </w:tabs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1921,15</w:t>
            </w:r>
          </w:p>
        </w:tc>
        <w:tc>
          <w:tcPr>
            <w:tcW w:w="1134" w:type="dxa"/>
            <w:vAlign w:val="center"/>
          </w:tcPr>
          <w:p w:rsidR="00534ECE" w:rsidRPr="00534ECE" w:rsidRDefault="00534ECE" w:rsidP="00534ECE">
            <w:pPr>
              <w:tabs>
                <w:tab w:val="left" w:pos="99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1921,15</w:t>
            </w:r>
          </w:p>
        </w:tc>
        <w:tc>
          <w:tcPr>
            <w:tcW w:w="1418" w:type="dxa"/>
            <w:vAlign w:val="center"/>
          </w:tcPr>
          <w:p w:rsidR="00534ECE" w:rsidRPr="00534ECE" w:rsidRDefault="00534ECE" w:rsidP="00534ECE">
            <w:pPr>
              <w:tabs>
                <w:tab w:val="left" w:pos="99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1921,15</w:t>
            </w:r>
          </w:p>
        </w:tc>
      </w:tr>
      <w:tr w:rsidR="00534ECE" w:rsidRPr="00534ECE" w:rsidTr="00D8777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70" w:type="dxa"/>
            <w:vAlign w:val="center"/>
          </w:tcPr>
          <w:p w:rsidR="00534ECE" w:rsidRPr="00534ECE" w:rsidRDefault="00534ECE" w:rsidP="00534ECE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57" w:type="dxa"/>
            <w:vAlign w:val="center"/>
          </w:tcPr>
          <w:p w:rsidR="00534ECE" w:rsidRPr="00534ECE" w:rsidRDefault="00534ECE" w:rsidP="00534ECE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2159" w:type="dxa"/>
            <w:vMerge/>
            <w:vAlign w:val="center"/>
          </w:tcPr>
          <w:p w:rsidR="00534ECE" w:rsidRPr="00534ECE" w:rsidRDefault="00534ECE" w:rsidP="00534EC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01" w:type="dxa"/>
            <w:vAlign w:val="center"/>
          </w:tcPr>
          <w:p w:rsidR="00534ECE" w:rsidRPr="00534ECE" w:rsidRDefault="00534ECE" w:rsidP="00534ECE">
            <w:pPr>
              <w:tabs>
                <w:tab w:val="left" w:pos="99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5521,15</w:t>
            </w:r>
          </w:p>
        </w:tc>
        <w:tc>
          <w:tcPr>
            <w:tcW w:w="1134" w:type="dxa"/>
            <w:vAlign w:val="center"/>
          </w:tcPr>
          <w:p w:rsidR="00534ECE" w:rsidRPr="00534ECE" w:rsidRDefault="00534ECE" w:rsidP="00534ECE">
            <w:pPr>
              <w:tabs>
                <w:tab w:val="left" w:pos="99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5595,65</w:t>
            </w:r>
          </w:p>
        </w:tc>
        <w:tc>
          <w:tcPr>
            <w:tcW w:w="1418" w:type="dxa"/>
            <w:vAlign w:val="center"/>
          </w:tcPr>
          <w:p w:rsidR="00534ECE" w:rsidRPr="00534ECE" w:rsidRDefault="00534ECE" w:rsidP="00534ECE">
            <w:pPr>
              <w:tabs>
                <w:tab w:val="left" w:pos="99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5681,75</w:t>
            </w:r>
          </w:p>
        </w:tc>
      </w:tr>
      <w:tr w:rsidR="00534ECE" w:rsidRPr="00534ECE" w:rsidTr="00D87775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570" w:type="dxa"/>
            <w:vMerge w:val="restart"/>
            <w:vAlign w:val="center"/>
          </w:tcPr>
          <w:p w:rsidR="00534ECE" w:rsidRPr="00534ECE" w:rsidRDefault="00534ECE" w:rsidP="00534ECE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57" w:type="dxa"/>
            <w:vMerge w:val="restart"/>
            <w:vAlign w:val="center"/>
          </w:tcPr>
          <w:p w:rsidR="00534ECE" w:rsidRPr="00534ECE" w:rsidRDefault="00534ECE" w:rsidP="00534ECE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534ECE" w:rsidRPr="00534ECE" w:rsidRDefault="00534ECE" w:rsidP="00534ECE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дефицит</w:t>
            </w:r>
            <w:proofErr w:type="gramStart"/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(-)/</w:t>
            </w:r>
            <w:proofErr w:type="gramEnd"/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профицит (+), соблюдение предела дефицита</w:t>
            </w:r>
          </w:p>
        </w:tc>
        <w:tc>
          <w:tcPr>
            <w:tcW w:w="2159" w:type="dxa"/>
            <w:vMerge w:val="restart"/>
            <w:vAlign w:val="center"/>
          </w:tcPr>
          <w:p w:rsidR="00534ECE" w:rsidRPr="00534ECE" w:rsidRDefault="00534ECE" w:rsidP="00534EC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п. 3 ст. 92.1 БК РФ</w:t>
            </w:r>
          </w:p>
        </w:tc>
        <w:tc>
          <w:tcPr>
            <w:tcW w:w="1101" w:type="dxa"/>
            <w:vAlign w:val="center"/>
          </w:tcPr>
          <w:p w:rsidR="00534ECE" w:rsidRPr="00534ECE" w:rsidRDefault="00534ECE" w:rsidP="00534ECE">
            <w:pPr>
              <w:tabs>
                <w:tab w:val="left" w:pos="993"/>
              </w:tabs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-126,9</w:t>
            </w:r>
          </w:p>
        </w:tc>
        <w:tc>
          <w:tcPr>
            <w:tcW w:w="1134" w:type="dxa"/>
            <w:vAlign w:val="center"/>
          </w:tcPr>
          <w:p w:rsidR="00534ECE" w:rsidRPr="00534ECE" w:rsidRDefault="00534ECE" w:rsidP="00534ECE">
            <w:pPr>
              <w:tabs>
                <w:tab w:val="left" w:pos="993"/>
              </w:tabs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-130,0</w:t>
            </w:r>
          </w:p>
        </w:tc>
        <w:tc>
          <w:tcPr>
            <w:tcW w:w="1418" w:type="dxa"/>
            <w:vAlign w:val="center"/>
          </w:tcPr>
          <w:p w:rsidR="00534ECE" w:rsidRPr="00534ECE" w:rsidRDefault="00534ECE" w:rsidP="00534ECE">
            <w:pPr>
              <w:tabs>
                <w:tab w:val="left" w:pos="993"/>
              </w:tabs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-133,7</w:t>
            </w:r>
          </w:p>
        </w:tc>
      </w:tr>
      <w:tr w:rsidR="00534ECE" w:rsidRPr="00534ECE" w:rsidTr="00D87775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570" w:type="dxa"/>
            <w:vMerge/>
            <w:vAlign w:val="center"/>
          </w:tcPr>
          <w:p w:rsidR="00534ECE" w:rsidRPr="00534ECE" w:rsidRDefault="00534ECE" w:rsidP="00534ECE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7" w:type="dxa"/>
            <w:vMerge/>
            <w:vAlign w:val="center"/>
          </w:tcPr>
          <w:p w:rsidR="00534ECE" w:rsidRPr="00534ECE" w:rsidRDefault="00534ECE" w:rsidP="00534ECE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9" w:type="dxa"/>
            <w:vMerge/>
            <w:vAlign w:val="center"/>
          </w:tcPr>
          <w:p w:rsidR="00534ECE" w:rsidRPr="00534ECE" w:rsidRDefault="00534ECE" w:rsidP="00534EC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53" w:type="dxa"/>
            <w:gridSpan w:val="3"/>
            <w:vAlign w:val="center"/>
          </w:tcPr>
          <w:p w:rsidR="00534ECE" w:rsidRPr="00534ECE" w:rsidRDefault="00534ECE" w:rsidP="00534ECE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не превышает ограничение (не более 5% общего годового объема собственных доходов)</w:t>
            </w:r>
          </w:p>
        </w:tc>
      </w:tr>
      <w:tr w:rsidR="00534ECE" w:rsidRPr="00534ECE" w:rsidTr="00D8777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70" w:type="dxa"/>
            <w:vAlign w:val="center"/>
          </w:tcPr>
          <w:p w:rsidR="00534ECE" w:rsidRPr="00534ECE" w:rsidRDefault="00534ECE" w:rsidP="00534ECE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57" w:type="dxa"/>
            <w:vAlign w:val="center"/>
          </w:tcPr>
          <w:p w:rsidR="00534ECE" w:rsidRPr="00534ECE" w:rsidRDefault="00534ECE" w:rsidP="00534ECE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условно утвержденные расходы</w:t>
            </w:r>
          </w:p>
          <w:p w:rsidR="00534ECE" w:rsidRPr="00534ECE" w:rsidRDefault="00534ECE" w:rsidP="00534ECE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9" w:type="dxa"/>
            <w:vAlign w:val="center"/>
          </w:tcPr>
          <w:p w:rsidR="00534ECE" w:rsidRPr="00534ECE" w:rsidRDefault="00534ECE" w:rsidP="00534EC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п.3 ст.184.1 БК РФ</w:t>
            </w:r>
          </w:p>
        </w:tc>
        <w:tc>
          <w:tcPr>
            <w:tcW w:w="3653" w:type="dxa"/>
            <w:gridSpan w:val="3"/>
            <w:vAlign w:val="center"/>
          </w:tcPr>
          <w:p w:rsidR="00534ECE" w:rsidRPr="00534ECE" w:rsidRDefault="00534ECE" w:rsidP="00534ECE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2025 г. – 137,4 </w:t>
            </w:r>
            <w:proofErr w:type="spellStart"/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т.р</w:t>
            </w:r>
            <w:proofErr w:type="spellEnd"/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. (не менее 2,5 % общего объема расходов бюджета (без учета расходов бюджета, предусмотренных за счет межбюджетных трансфертов из бюджетов других уровней);</w:t>
            </w:r>
          </w:p>
          <w:p w:rsidR="00534ECE" w:rsidRPr="00534ECE" w:rsidRDefault="00534ECE" w:rsidP="00534ECE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2026 г. – 278,8 </w:t>
            </w:r>
            <w:proofErr w:type="spellStart"/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т.р</w:t>
            </w:r>
            <w:proofErr w:type="spellEnd"/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. (не менее 5,0 % общего объема расходов бюджета (без учета расходов бюджета, предусмотренных за счет межбюджетных трансфертов из бюджетов других уровней, имеющих целевое назначение.)</w:t>
            </w:r>
            <w:proofErr w:type="gramEnd"/>
          </w:p>
        </w:tc>
      </w:tr>
      <w:tr w:rsidR="00534ECE" w:rsidRPr="00534ECE" w:rsidTr="00D8777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570" w:type="dxa"/>
            <w:vAlign w:val="center"/>
          </w:tcPr>
          <w:p w:rsidR="00534ECE" w:rsidRPr="00534ECE" w:rsidRDefault="00534ECE" w:rsidP="00534ECE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57" w:type="dxa"/>
            <w:vAlign w:val="center"/>
          </w:tcPr>
          <w:p w:rsidR="00534ECE" w:rsidRPr="00534ECE" w:rsidRDefault="00534ECE" w:rsidP="00534ECE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lang w:eastAsia="ru-RU"/>
              </w:rPr>
              <w:t>общий объем бюджетных ассигнований, направляемых на исполнение публичных нормативных обязательств</w:t>
            </w:r>
          </w:p>
        </w:tc>
        <w:tc>
          <w:tcPr>
            <w:tcW w:w="2159" w:type="dxa"/>
            <w:vAlign w:val="center"/>
          </w:tcPr>
          <w:p w:rsidR="00534ECE" w:rsidRPr="00534ECE" w:rsidRDefault="00534ECE" w:rsidP="00534EC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п.3 ст.184.1 БК РФ</w:t>
            </w:r>
          </w:p>
        </w:tc>
        <w:tc>
          <w:tcPr>
            <w:tcW w:w="3653" w:type="dxa"/>
            <w:gridSpan w:val="3"/>
            <w:vAlign w:val="center"/>
          </w:tcPr>
          <w:p w:rsidR="00534ECE" w:rsidRPr="00534ECE" w:rsidRDefault="00534ECE" w:rsidP="00534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2024-2026гг. нулевые показатели</w:t>
            </w:r>
          </w:p>
        </w:tc>
      </w:tr>
      <w:tr w:rsidR="00534ECE" w:rsidRPr="00534ECE" w:rsidTr="00D8777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570" w:type="dxa"/>
            <w:vAlign w:val="center"/>
          </w:tcPr>
          <w:p w:rsidR="00534ECE" w:rsidRPr="00534ECE" w:rsidRDefault="00534ECE" w:rsidP="00534ECE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57" w:type="dxa"/>
            <w:vAlign w:val="center"/>
          </w:tcPr>
          <w:p w:rsidR="00534ECE" w:rsidRPr="00534ECE" w:rsidRDefault="00534ECE" w:rsidP="00534ECE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lang w:eastAsia="ru-RU"/>
              </w:rPr>
              <w:t xml:space="preserve">Объем </w:t>
            </w:r>
            <w:proofErr w:type="gramStart"/>
            <w:r w:rsidRPr="00534ECE">
              <w:rPr>
                <w:rFonts w:ascii="Times New Roman" w:eastAsia="Times New Roman" w:hAnsi="Times New Roman"/>
                <w:lang w:eastAsia="ru-RU"/>
              </w:rPr>
              <w:t>муниципального</w:t>
            </w:r>
            <w:proofErr w:type="gramEnd"/>
            <w:r w:rsidRPr="00534ECE">
              <w:rPr>
                <w:rFonts w:ascii="Times New Roman" w:eastAsia="Times New Roman" w:hAnsi="Times New Roman"/>
                <w:lang w:eastAsia="ru-RU"/>
              </w:rPr>
              <w:t xml:space="preserve"> долга</w:t>
            </w:r>
          </w:p>
          <w:p w:rsidR="00534ECE" w:rsidRPr="00534ECE" w:rsidRDefault="00534ECE" w:rsidP="00534ECE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(не более 50 % утвержденного общего объема доходов бюджета без учета объема безвозмездных поступлений)</w:t>
            </w:r>
          </w:p>
        </w:tc>
        <w:tc>
          <w:tcPr>
            <w:tcW w:w="2159" w:type="dxa"/>
            <w:vAlign w:val="center"/>
          </w:tcPr>
          <w:p w:rsidR="00534ECE" w:rsidRPr="00534ECE" w:rsidRDefault="00534ECE" w:rsidP="00534EC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п.5 ст.107 БК РФ</w:t>
            </w:r>
          </w:p>
        </w:tc>
        <w:tc>
          <w:tcPr>
            <w:tcW w:w="3653" w:type="dxa"/>
            <w:gridSpan w:val="3"/>
            <w:vAlign w:val="center"/>
          </w:tcPr>
          <w:p w:rsidR="00534ECE" w:rsidRPr="00534ECE" w:rsidRDefault="00534ECE" w:rsidP="00534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2024-2026гг. данные отсутствуют</w:t>
            </w:r>
          </w:p>
        </w:tc>
      </w:tr>
      <w:tr w:rsidR="00534ECE" w:rsidRPr="00534ECE" w:rsidTr="00D8777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570" w:type="dxa"/>
            <w:vAlign w:val="center"/>
          </w:tcPr>
          <w:p w:rsidR="00534ECE" w:rsidRPr="00534ECE" w:rsidRDefault="00534ECE" w:rsidP="00534ECE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57" w:type="dxa"/>
            <w:vAlign w:val="center"/>
          </w:tcPr>
          <w:p w:rsidR="00534ECE" w:rsidRPr="00534ECE" w:rsidRDefault="00534ECE" w:rsidP="00534ECE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lang w:eastAsia="ru-RU"/>
              </w:rPr>
              <w:t xml:space="preserve">Верхний предел </w:t>
            </w:r>
            <w:proofErr w:type="gramStart"/>
            <w:r w:rsidRPr="00534ECE">
              <w:rPr>
                <w:rFonts w:ascii="Times New Roman" w:eastAsia="Times New Roman" w:hAnsi="Times New Roman"/>
                <w:lang w:eastAsia="ru-RU"/>
              </w:rPr>
              <w:t>муниципального</w:t>
            </w:r>
            <w:proofErr w:type="gramEnd"/>
            <w:r w:rsidRPr="00534ECE">
              <w:rPr>
                <w:rFonts w:ascii="Times New Roman" w:eastAsia="Times New Roman" w:hAnsi="Times New Roman"/>
                <w:lang w:eastAsia="ru-RU"/>
              </w:rPr>
              <w:t xml:space="preserve"> долга, в т. ч. верхний предел долга по муниципальным гарантиям</w:t>
            </w:r>
          </w:p>
        </w:tc>
        <w:tc>
          <w:tcPr>
            <w:tcW w:w="2159" w:type="dxa"/>
            <w:vAlign w:val="center"/>
          </w:tcPr>
          <w:p w:rsidR="00534ECE" w:rsidRPr="00534ECE" w:rsidRDefault="00534ECE" w:rsidP="00534EC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п. 2 ст.107 БК РФ</w:t>
            </w:r>
          </w:p>
        </w:tc>
        <w:tc>
          <w:tcPr>
            <w:tcW w:w="3653" w:type="dxa"/>
            <w:gridSpan w:val="3"/>
            <w:vAlign w:val="center"/>
          </w:tcPr>
          <w:p w:rsidR="00534ECE" w:rsidRPr="00534ECE" w:rsidRDefault="00534ECE" w:rsidP="00534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2024 – 2026 гг. нулевые показатели</w:t>
            </w:r>
          </w:p>
        </w:tc>
      </w:tr>
      <w:tr w:rsidR="00534ECE" w:rsidRPr="00534ECE" w:rsidTr="00D87775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570" w:type="dxa"/>
            <w:vAlign w:val="center"/>
          </w:tcPr>
          <w:p w:rsidR="00534ECE" w:rsidRPr="00534ECE" w:rsidRDefault="00534ECE" w:rsidP="00534ECE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57" w:type="dxa"/>
            <w:vAlign w:val="center"/>
          </w:tcPr>
          <w:p w:rsidR="00534ECE" w:rsidRPr="00534ECE" w:rsidRDefault="00534ECE" w:rsidP="00534ECE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объем расходов на обслуживание </w:t>
            </w:r>
            <w:proofErr w:type="gramStart"/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муниципального</w:t>
            </w:r>
            <w:proofErr w:type="gramEnd"/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долга</w:t>
            </w:r>
          </w:p>
        </w:tc>
        <w:tc>
          <w:tcPr>
            <w:tcW w:w="2159" w:type="dxa"/>
            <w:vAlign w:val="center"/>
          </w:tcPr>
          <w:p w:rsidR="00534ECE" w:rsidRPr="00534ECE" w:rsidRDefault="00534ECE" w:rsidP="00534EC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ст. 111 БК РФ</w:t>
            </w:r>
          </w:p>
        </w:tc>
        <w:tc>
          <w:tcPr>
            <w:tcW w:w="3653" w:type="dxa"/>
            <w:gridSpan w:val="3"/>
            <w:vAlign w:val="center"/>
          </w:tcPr>
          <w:p w:rsidR="00534ECE" w:rsidRPr="00534ECE" w:rsidRDefault="00534ECE" w:rsidP="00534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2024 – 2026 гг. данные отсутствуют</w:t>
            </w:r>
          </w:p>
          <w:p w:rsidR="00534ECE" w:rsidRPr="00534ECE" w:rsidRDefault="00534ECE" w:rsidP="00534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(не более 15 % всех расходов бюджета, за исключением объёма расходов, которые осуществляются за счёт субвенций)</w:t>
            </w:r>
          </w:p>
        </w:tc>
      </w:tr>
      <w:tr w:rsidR="00534ECE" w:rsidRPr="00534ECE" w:rsidTr="00D8777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70" w:type="dxa"/>
            <w:vAlign w:val="center"/>
          </w:tcPr>
          <w:p w:rsidR="00534ECE" w:rsidRPr="00534ECE" w:rsidRDefault="00534ECE" w:rsidP="00534ECE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57" w:type="dxa"/>
            <w:vAlign w:val="center"/>
          </w:tcPr>
          <w:p w:rsidR="00534ECE" w:rsidRPr="00534ECE" w:rsidRDefault="00534ECE" w:rsidP="00534ECE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Структура текстовой части проекта бюджета</w:t>
            </w:r>
          </w:p>
        </w:tc>
        <w:tc>
          <w:tcPr>
            <w:tcW w:w="2159" w:type="dxa"/>
            <w:vAlign w:val="center"/>
          </w:tcPr>
          <w:p w:rsidR="00534ECE" w:rsidRPr="00534ECE" w:rsidRDefault="00534ECE" w:rsidP="00534EC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п.3 ст.184.1 БК РФ</w:t>
            </w:r>
          </w:p>
          <w:p w:rsidR="00534ECE" w:rsidRPr="00534ECE" w:rsidRDefault="00534ECE" w:rsidP="00534EC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53" w:type="dxa"/>
            <w:gridSpan w:val="3"/>
            <w:vAlign w:val="center"/>
          </w:tcPr>
          <w:p w:rsidR="00534ECE" w:rsidRPr="00534ECE" w:rsidRDefault="00534ECE" w:rsidP="00534ECE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утверждает показатели в таблицах.</w:t>
            </w:r>
          </w:p>
          <w:p w:rsidR="00534ECE" w:rsidRPr="00534ECE" w:rsidRDefault="00534ECE" w:rsidP="00534ECE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 таблицами </w:t>
            </w:r>
            <w:proofErr w:type="gramStart"/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согласована</w:t>
            </w:r>
            <w:proofErr w:type="gramEnd"/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</w:tr>
      <w:tr w:rsidR="00534ECE" w:rsidRPr="00534ECE" w:rsidTr="00D8777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70" w:type="dxa"/>
            <w:vAlign w:val="center"/>
          </w:tcPr>
          <w:p w:rsidR="00534ECE" w:rsidRPr="00534ECE" w:rsidRDefault="00534ECE" w:rsidP="00534ECE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57" w:type="dxa"/>
            <w:vAlign w:val="center"/>
          </w:tcPr>
          <w:p w:rsidR="00534ECE" w:rsidRPr="00534ECE" w:rsidRDefault="00534ECE" w:rsidP="00534ECE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Состав приложений</w:t>
            </w:r>
          </w:p>
        </w:tc>
        <w:tc>
          <w:tcPr>
            <w:tcW w:w="2159" w:type="dxa"/>
            <w:vAlign w:val="center"/>
          </w:tcPr>
          <w:p w:rsidR="00534ECE" w:rsidRPr="00534ECE" w:rsidRDefault="00534ECE" w:rsidP="00534EC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п.3 ст.184.1 БК РФ</w:t>
            </w:r>
          </w:p>
          <w:p w:rsidR="00534ECE" w:rsidRPr="00534ECE" w:rsidRDefault="00534ECE" w:rsidP="00534EC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53" w:type="dxa"/>
            <w:gridSpan w:val="3"/>
            <w:vAlign w:val="center"/>
          </w:tcPr>
          <w:p w:rsidR="00534ECE" w:rsidRPr="00534ECE" w:rsidRDefault="00534ECE" w:rsidP="00534ECE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в основном соответствует</w:t>
            </w:r>
          </w:p>
        </w:tc>
      </w:tr>
      <w:tr w:rsidR="00534ECE" w:rsidRPr="00534ECE" w:rsidTr="00D8777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70" w:type="dxa"/>
            <w:vAlign w:val="center"/>
          </w:tcPr>
          <w:p w:rsidR="00534ECE" w:rsidRPr="00534ECE" w:rsidRDefault="00534ECE" w:rsidP="00534ECE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57" w:type="dxa"/>
            <w:vAlign w:val="center"/>
          </w:tcPr>
          <w:p w:rsidR="00534ECE" w:rsidRPr="00534ECE" w:rsidRDefault="00534ECE" w:rsidP="00534ECE">
            <w:pPr>
              <w:tabs>
                <w:tab w:val="left" w:pos="9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Нормативы отчислений от налогов в местный бюджет </w:t>
            </w:r>
          </w:p>
        </w:tc>
        <w:tc>
          <w:tcPr>
            <w:tcW w:w="2159" w:type="dxa"/>
            <w:vAlign w:val="center"/>
          </w:tcPr>
          <w:p w:rsidR="00534ECE" w:rsidRPr="00534ECE" w:rsidRDefault="00534ECE" w:rsidP="00534EC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ст. 61.5 БК РФ</w:t>
            </w:r>
          </w:p>
          <w:p w:rsidR="00534ECE" w:rsidRPr="00534ECE" w:rsidRDefault="00534ECE" w:rsidP="00534EC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Закон № 2258-ОД,</w:t>
            </w:r>
          </w:p>
          <w:p w:rsidR="00534ECE" w:rsidRPr="00534ECE" w:rsidRDefault="00534ECE" w:rsidP="00534EC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Закон № 156-ОД,</w:t>
            </w:r>
          </w:p>
          <w:p w:rsidR="00534ECE" w:rsidRPr="00534ECE" w:rsidRDefault="00534ECE" w:rsidP="00534EC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решение думы поселения о налогах</w:t>
            </w:r>
          </w:p>
        </w:tc>
        <w:tc>
          <w:tcPr>
            <w:tcW w:w="3653" w:type="dxa"/>
            <w:gridSpan w:val="3"/>
            <w:vAlign w:val="center"/>
          </w:tcPr>
          <w:p w:rsidR="00534ECE" w:rsidRPr="00534ECE" w:rsidRDefault="00534ECE" w:rsidP="00534ECE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НДФЛ – 15%, из них (2% БК РФ, 5% № 2258-ОД, 8% № 156-ОД);</w:t>
            </w:r>
          </w:p>
          <w:p w:rsidR="00534ECE" w:rsidRPr="00534ECE" w:rsidRDefault="00534ECE" w:rsidP="00534ECE">
            <w:pPr>
              <w:tabs>
                <w:tab w:val="left" w:pos="993"/>
              </w:tabs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доходы от акцизов </w:t>
            </w:r>
            <w:proofErr w:type="spellStart"/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облбюджет</w:t>
            </w:r>
            <w:proofErr w:type="spellEnd"/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(0,0046)</w:t>
            </w:r>
          </w:p>
          <w:p w:rsidR="00534ECE" w:rsidRPr="00534ECE" w:rsidRDefault="00534ECE" w:rsidP="00534ECE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единый сельхозналог – 50%, из них (30% БК РФ и 20% 156-ОД)</w:t>
            </w:r>
          </w:p>
          <w:p w:rsidR="00534ECE" w:rsidRPr="00534ECE" w:rsidRDefault="00534ECE" w:rsidP="00534ECE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земельный налог – 100 %,</w:t>
            </w:r>
          </w:p>
          <w:p w:rsidR="00534ECE" w:rsidRPr="00534ECE" w:rsidRDefault="00534ECE" w:rsidP="00534ECE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налог на имущество – 100 %;</w:t>
            </w:r>
          </w:p>
          <w:p w:rsidR="00534ECE" w:rsidRPr="00534ECE" w:rsidRDefault="00534ECE" w:rsidP="00534ECE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госпошлина – 100 %</w:t>
            </w:r>
          </w:p>
        </w:tc>
      </w:tr>
      <w:tr w:rsidR="00534ECE" w:rsidRPr="00534ECE" w:rsidTr="00D8777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70" w:type="dxa"/>
            <w:vAlign w:val="center"/>
          </w:tcPr>
          <w:p w:rsidR="00534ECE" w:rsidRPr="00534ECE" w:rsidRDefault="00534ECE" w:rsidP="00534ECE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57" w:type="dxa"/>
            <w:vAlign w:val="center"/>
          </w:tcPr>
          <w:p w:rsidR="00534ECE" w:rsidRPr="00534ECE" w:rsidRDefault="00534ECE" w:rsidP="00534ECE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Отражение отдельной строкой расходных обязательств местного бюджета и расходов, увеличивающих норматив на содержание ОМС</w:t>
            </w:r>
          </w:p>
        </w:tc>
        <w:tc>
          <w:tcPr>
            <w:tcW w:w="2159" w:type="dxa"/>
            <w:vAlign w:val="center"/>
          </w:tcPr>
          <w:p w:rsidR="00534ECE" w:rsidRPr="00534ECE" w:rsidRDefault="00534ECE" w:rsidP="00534EC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ст. 15 БК РФ</w:t>
            </w:r>
          </w:p>
        </w:tc>
        <w:tc>
          <w:tcPr>
            <w:tcW w:w="3653" w:type="dxa"/>
            <w:gridSpan w:val="3"/>
            <w:vAlign w:val="center"/>
          </w:tcPr>
          <w:p w:rsidR="00534ECE" w:rsidRPr="00534ECE" w:rsidRDefault="00534ECE" w:rsidP="00534ECE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отражены, верно</w:t>
            </w:r>
          </w:p>
        </w:tc>
      </w:tr>
      <w:tr w:rsidR="00534ECE" w:rsidRPr="00534ECE" w:rsidTr="00D8777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70" w:type="dxa"/>
            <w:vAlign w:val="center"/>
          </w:tcPr>
          <w:p w:rsidR="00534ECE" w:rsidRPr="00534ECE" w:rsidRDefault="00534ECE" w:rsidP="00534ECE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57" w:type="dxa"/>
            <w:vAlign w:val="center"/>
          </w:tcPr>
          <w:p w:rsidR="00534ECE" w:rsidRPr="00534ECE" w:rsidRDefault="00534ECE" w:rsidP="00534ECE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разделов, подразделов функциональной и ведомственной классификации расходов</w:t>
            </w:r>
          </w:p>
        </w:tc>
        <w:tc>
          <w:tcPr>
            <w:tcW w:w="2159" w:type="dxa"/>
            <w:vAlign w:val="center"/>
          </w:tcPr>
          <w:p w:rsidR="00534ECE" w:rsidRPr="00534ECE" w:rsidRDefault="00534ECE" w:rsidP="00534EC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ст. 21 БК РФ</w:t>
            </w:r>
          </w:p>
        </w:tc>
        <w:tc>
          <w:tcPr>
            <w:tcW w:w="3653" w:type="dxa"/>
            <w:gridSpan w:val="3"/>
            <w:vAlign w:val="center"/>
          </w:tcPr>
          <w:p w:rsidR="00534ECE" w:rsidRPr="00534ECE" w:rsidRDefault="00534ECE" w:rsidP="00534ECE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отражены, верно, уточнить ФКР: 0310 (в табл. 5,6,7), 1105 (в табл. 6,7)</w:t>
            </w:r>
          </w:p>
        </w:tc>
      </w:tr>
      <w:tr w:rsidR="00534ECE" w:rsidRPr="00534ECE" w:rsidTr="00D87775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570" w:type="dxa"/>
            <w:vAlign w:val="center"/>
          </w:tcPr>
          <w:p w:rsidR="00534ECE" w:rsidRPr="00534ECE" w:rsidRDefault="00534ECE" w:rsidP="00534ECE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57" w:type="dxa"/>
            <w:vAlign w:val="center"/>
          </w:tcPr>
          <w:p w:rsidR="00534ECE" w:rsidRPr="00534ECE" w:rsidRDefault="00534ECE" w:rsidP="00534ECE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Структура плановых расходов на 2024г.</w:t>
            </w:r>
          </w:p>
        </w:tc>
        <w:tc>
          <w:tcPr>
            <w:tcW w:w="5812" w:type="dxa"/>
            <w:gridSpan w:val="4"/>
            <w:vAlign w:val="center"/>
          </w:tcPr>
          <w:p w:rsidR="00534ECE" w:rsidRPr="00534ECE" w:rsidRDefault="00534ECE" w:rsidP="00534ECE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(0100) 48,7</w:t>
            </w:r>
            <w:r w:rsidRPr="00534EC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%, </w:t>
            </w:r>
            <w:r w:rsidRPr="00534EC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национальна оборона (0200) 1,6%,</w:t>
            </w: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нац. безопасность (0310) 0,5%, благоустройство (0503) </w:t>
            </w:r>
            <w:r w:rsidRPr="00534EC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13,7</w:t>
            </w: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%, культура (0801) </w:t>
            </w:r>
            <w:r w:rsidRPr="00534EC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19,9%,</w:t>
            </w: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дорожное хозяйство (0409) </w:t>
            </w:r>
            <w:r w:rsidRPr="00534EC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13,7%, </w:t>
            </w:r>
            <w:r w:rsidRPr="00534EC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соц. политика (1001) 1,4%, физическая культура и спорт (1105) 0,4%</w:t>
            </w:r>
          </w:p>
        </w:tc>
      </w:tr>
      <w:tr w:rsidR="00534ECE" w:rsidRPr="00534ECE" w:rsidTr="00D87775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570" w:type="dxa"/>
            <w:vAlign w:val="center"/>
          </w:tcPr>
          <w:p w:rsidR="00534ECE" w:rsidRPr="00534ECE" w:rsidRDefault="00534ECE" w:rsidP="00534ECE">
            <w:pPr>
              <w:spacing w:after="120" w:line="240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57" w:type="dxa"/>
            <w:vAlign w:val="center"/>
          </w:tcPr>
          <w:p w:rsidR="00534ECE" w:rsidRPr="00534ECE" w:rsidRDefault="00534ECE" w:rsidP="00534ECE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Объем межбюджетных трансфертов из районного бюджета</w:t>
            </w:r>
          </w:p>
        </w:tc>
        <w:tc>
          <w:tcPr>
            <w:tcW w:w="5812" w:type="dxa"/>
            <w:gridSpan w:val="4"/>
            <w:vAlign w:val="center"/>
          </w:tcPr>
          <w:p w:rsidR="00534ECE" w:rsidRPr="00534ECE" w:rsidRDefault="00534ECE" w:rsidP="00534ECE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2024г.-1921,15 </w:t>
            </w:r>
            <w:proofErr w:type="spellStart"/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т.р</w:t>
            </w:r>
            <w:proofErr w:type="spellEnd"/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или 34,8% от общих расходов в </w:t>
            </w:r>
            <w:proofErr w:type="spellStart"/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proofErr w:type="gramStart"/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.ч</w:t>
            </w:r>
            <w:proofErr w:type="spellEnd"/>
            <w:proofErr w:type="gramEnd"/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:</w:t>
            </w:r>
          </w:p>
          <w:p w:rsidR="00534ECE" w:rsidRPr="00534ECE" w:rsidRDefault="00534ECE" w:rsidP="00534ECE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сбалансированность 1339,9 </w:t>
            </w:r>
            <w:proofErr w:type="spellStart"/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proofErr w:type="gramStart"/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.р</w:t>
            </w:r>
            <w:proofErr w:type="spellEnd"/>
            <w:proofErr w:type="gramEnd"/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; 31,25 </w:t>
            </w:r>
            <w:proofErr w:type="spellStart"/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т.р</w:t>
            </w:r>
            <w:proofErr w:type="spellEnd"/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  <w:proofErr w:type="spellStart"/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содерж</w:t>
            </w:r>
            <w:proofErr w:type="spellEnd"/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кладбищ; </w:t>
            </w:r>
            <w:proofErr w:type="spellStart"/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содерж</w:t>
            </w:r>
            <w:proofErr w:type="spellEnd"/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тракторов 300,0 </w:t>
            </w:r>
            <w:proofErr w:type="spellStart"/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т.р</w:t>
            </w:r>
            <w:proofErr w:type="spellEnd"/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.; 250,0 </w:t>
            </w:r>
            <w:proofErr w:type="spellStart"/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т.р</w:t>
            </w:r>
            <w:proofErr w:type="spellEnd"/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  <w:proofErr w:type="spellStart"/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содерж</w:t>
            </w:r>
            <w:proofErr w:type="spellEnd"/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объектов благоустройства </w:t>
            </w:r>
          </w:p>
        </w:tc>
      </w:tr>
      <w:tr w:rsidR="00534ECE" w:rsidRPr="00534ECE" w:rsidTr="00D8777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70" w:type="dxa"/>
            <w:vAlign w:val="center"/>
          </w:tcPr>
          <w:p w:rsidR="00534ECE" w:rsidRPr="00534ECE" w:rsidRDefault="00534ECE" w:rsidP="00534ECE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57" w:type="dxa"/>
            <w:tcBorders>
              <w:right w:val="single" w:sz="4" w:space="0" w:color="auto"/>
            </w:tcBorders>
            <w:vAlign w:val="center"/>
          </w:tcPr>
          <w:p w:rsidR="00534ECE" w:rsidRPr="00534ECE" w:rsidRDefault="00534ECE" w:rsidP="00534ECE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муниципальных программ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4ECE" w:rsidRPr="00534ECE" w:rsidRDefault="00534ECE" w:rsidP="00534EC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исполнение</w:t>
            </w:r>
          </w:p>
        </w:tc>
        <w:tc>
          <w:tcPr>
            <w:tcW w:w="3653" w:type="dxa"/>
            <w:gridSpan w:val="3"/>
            <w:tcBorders>
              <w:left w:val="single" w:sz="4" w:space="0" w:color="auto"/>
            </w:tcBorders>
            <w:vAlign w:val="center"/>
          </w:tcPr>
          <w:p w:rsidR="00534ECE" w:rsidRPr="00534ECE" w:rsidRDefault="00534ECE" w:rsidP="00534ECE">
            <w:pPr>
              <w:tabs>
                <w:tab w:val="left" w:pos="993"/>
              </w:tabs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муниципальных  программ -  7 ед.</w:t>
            </w:r>
          </w:p>
          <w:p w:rsidR="00534ECE" w:rsidRPr="00534ECE" w:rsidRDefault="00534ECE" w:rsidP="00534ECE">
            <w:pPr>
              <w:tabs>
                <w:tab w:val="left" w:pos="993"/>
              </w:tabs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ведомственных целевых программ-1 ед.</w:t>
            </w:r>
          </w:p>
        </w:tc>
      </w:tr>
      <w:tr w:rsidR="00534ECE" w:rsidRPr="00534ECE" w:rsidTr="00D8777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70" w:type="dxa"/>
            <w:vAlign w:val="center"/>
          </w:tcPr>
          <w:p w:rsidR="00534ECE" w:rsidRPr="00534ECE" w:rsidRDefault="00534ECE" w:rsidP="00534ECE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57" w:type="dxa"/>
            <w:tcBorders>
              <w:right w:val="single" w:sz="4" w:space="0" w:color="auto"/>
            </w:tcBorders>
            <w:vAlign w:val="center"/>
          </w:tcPr>
          <w:p w:rsidR="00534ECE" w:rsidRPr="00534ECE" w:rsidRDefault="00534ECE" w:rsidP="00534ECE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Объем и доля программной части бюджета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CE" w:rsidRPr="00534ECE" w:rsidRDefault="00534ECE" w:rsidP="00534EC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программно-целевого метода</w:t>
            </w:r>
          </w:p>
        </w:tc>
        <w:tc>
          <w:tcPr>
            <w:tcW w:w="3653" w:type="dxa"/>
            <w:gridSpan w:val="3"/>
            <w:tcBorders>
              <w:left w:val="single" w:sz="4" w:space="0" w:color="auto"/>
            </w:tcBorders>
            <w:vAlign w:val="center"/>
          </w:tcPr>
          <w:p w:rsidR="00534ECE" w:rsidRPr="00534ECE" w:rsidRDefault="00534ECE" w:rsidP="00534ECE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2024г. – 2743,8  тыс. руб. или 49,7% от общего объема расходов бюджета</w:t>
            </w:r>
            <w:r w:rsidRPr="00534ECE">
              <w:rPr>
                <w:rFonts w:ascii="Times New Roman" w:eastAsia="Times New Roman" w:hAnsi="Times New Roman"/>
                <w:lang w:eastAsia="ru-RU"/>
              </w:rPr>
              <w:t xml:space="preserve">, что </w:t>
            </w:r>
            <w:r w:rsidRPr="00534ECE">
              <w:rPr>
                <w:rFonts w:ascii="Times New Roman" w:eastAsia="Times New Roman" w:hAnsi="Times New Roman"/>
                <w:b/>
                <w:lang w:eastAsia="ru-RU"/>
              </w:rPr>
              <w:t>частично</w:t>
            </w:r>
            <w:r w:rsidRPr="00534EC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34ECE">
              <w:rPr>
                <w:rFonts w:ascii="Times New Roman" w:eastAsia="Times New Roman" w:hAnsi="Times New Roman"/>
                <w:b/>
                <w:lang w:eastAsia="ru-RU"/>
              </w:rPr>
              <w:t>отвечает принципу формирования бюджета по программно-целевому методу</w:t>
            </w:r>
          </w:p>
        </w:tc>
      </w:tr>
      <w:tr w:rsidR="00534ECE" w:rsidRPr="00534ECE" w:rsidTr="00D8777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70" w:type="dxa"/>
            <w:vAlign w:val="center"/>
          </w:tcPr>
          <w:p w:rsidR="00534ECE" w:rsidRPr="00534ECE" w:rsidRDefault="00534ECE" w:rsidP="00534ECE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57" w:type="dxa"/>
            <w:vAlign w:val="center"/>
          </w:tcPr>
          <w:p w:rsidR="00534ECE" w:rsidRPr="00534ECE" w:rsidRDefault="00534ECE" w:rsidP="00534ECE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Объем дорожного фонда</w:t>
            </w:r>
          </w:p>
        </w:tc>
        <w:tc>
          <w:tcPr>
            <w:tcW w:w="2159" w:type="dxa"/>
            <w:tcBorders>
              <w:top w:val="single" w:sz="4" w:space="0" w:color="auto"/>
            </w:tcBorders>
            <w:vAlign w:val="center"/>
          </w:tcPr>
          <w:p w:rsidR="00534ECE" w:rsidRPr="00534ECE" w:rsidRDefault="00534ECE" w:rsidP="00534EC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ст. 179.4 БК РФ</w:t>
            </w:r>
          </w:p>
          <w:p w:rsidR="00534ECE" w:rsidRPr="00534ECE" w:rsidRDefault="00534ECE" w:rsidP="00534EC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Положение о </w:t>
            </w:r>
            <w:proofErr w:type="spellStart"/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доро</w:t>
            </w:r>
            <w:proofErr w:type="spellEnd"/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жном</w:t>
            </w:r>
            <w:proofErr w:type="spellEnd"/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фонде с/</w:t>
            </w:r>
            <w:proofErr w:type="gramStart"/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3653" w:type="dxa"/>
            <w:gridSpan w:val="3"/>
            <w:vAlign w:val="center"/>
          </w:tcPr>
          <w:p w:rsidR="00534ECE" w:rsidRPr="00534ECE" w:rsidRDefault="00534ECE" w:rsidP="00534ECE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2024 г. – 758,30 т. р. или 13,7 % от расходов бюджета в </w:t>
            </w:r>
            <w:proofErr w:type="spellStart"/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т.ч</w:t>
            </w:r>
            <w:proofErr w:type="spellEnd"/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соответствует прогнозируемому объему соответствующих доходов от акцизов 458,30 </w:t>
            </w:r>
            <w:proofErr w:type="spellStart"/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т.р</w:t>
            </w:r>
            <w:proofErr w:type="spellEnd"/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.; </w:t>
            </w:r>
            <w:proofErr w:type="spellStart"/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межб</w:t>
            </w:r>
            <w:proofErr w:type="spellEnd"/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трансф</w:t>
            </w:r>
            <w:proofErr w:type="spellEnd"/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</w:t>
            </w:r>
            <w:proofErr w:type="spellStart"/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содер</w:t>
            </w:r>
            <w:proofErr w:type="spellEnd"/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спец</w:t>
            </w:r>
            <w:proofErr w:type="gramEnd"/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дорож</w:t>
            </w:r>
            <w:proofErr w:type="spellEnd"/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техники (трактор) 300,0 </w:t>
            </w:r>
            <w:proofErr w:type="spellStart"/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т.р</w:t>
            </w:r>
            <w:proofErr w:type="spellEnd"/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</w:tr>
      <w:tr w:rsidR="00534ECE" w:rsidRPr="00534ECE" w:rsidTr="00D8777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70" w:type="dxa"/>
            <w:vAlign w:val="center"/>
          </w:tcPr>
          <w:p w:rsidR="00534ECE" w:rsidRPr="00534ECE" w:rsidRDefault="00534ECE" w:rsidP="00534ECE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57" w:type="dxa"/>
            <w:vAlign w:val="center"/>
          </w:tcPr>
          <w:p w:rsidR="00534ECE" w:rsidRPr="00534ECE" w:rsidRDefault="00534ECE" w:rsidP="00534ECE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размер резервного фонда</w:t>
            </w:r>
          </w:p>
        </w:tc>
        <w:tc>
          <w:tcPr>
            <w:tcW w:w="2159" w:type="dxa"/>
            <w:vAlign w:val="center"/>
          </w:tcPr>
          <w:p w:rsidR="00534ECE" w:rsidRPr="00534ECE" w:rsidRDefault="00534ECE" w:rsidP="00534EC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п. 3 ст. 81 БК РФ</w:t>
            </w:r>
          </w:p>
        </w:tc>
        <w:tc>
          <w:tcPr>
            <w:tcW w:w="3653" w:type="dxa"/>
            <w:gridSpan w:val="3"/>
            <w:vAlign w:val="center"/>
          </w:tcPr>
          <w:p w:rsidR="00534ECE" w:rsidRPr="00534ECE" w:rsidRDefault="00534ECE" w:rsidP="00534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2024 г. – 1,7 </w:t>
            </w:r>
            <w:proofErr w:type="spellStart"/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т.р</w:t>
            </w:r>
            <w:proofErr w:type="spellEnd"/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</w:p>
          <w:p w:rsidR="00534ECE" w:rsidRPr="00534ECE" w:rsidRDefault="00534ECE" w:rsidP="00534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2025 г. – 1,7 т. р.</w:t>
            </w:r>
          </w:p>
          <w:p w:rsidR="00534ECE" w:rsidRPr="00534ECE" w:rsidRDefault="00534ECE" w:rsidP="00534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2026 г. – 1,7 </w:t>
            </w:r>
            <w:proofErr w:type="spellStart"/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т.р</w:t>
            </w:r>
            <w:proofErr w:type="spellEnd"/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</w:p>
        </w:tc>
      </w:tr>
      <w:tr w:rsidR="00534ECE" w:rsidRPr="00534ECE" w:rsidTr="00D87775">
        <w:tblPrEx>
          <w:tblCellMar>
            <w:top w:w="0" w:type="dxa"/>
            <w:bottom w:w="0" w:type="dxa"/>
          </w:tblCellMar>
        </w:tblPrEx>
        <w:trPr>
          <w:trHeight w:val="1965"/>
        </w:trPr>
        <w:tc>
          <w:tcPr>
            <w:tcW w:w="570" w:type="dxa"/>
            <w:vAlign w:val="center"/>
          </w:tcPr>
          <w:p w:rsidR="00534ECE" w:rsidRPr="00534ECE" w:rsidRDefault="00534ECE" w:rsidP="00534ECE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  <w:p w:rsidR="00534ECE" w:rsidRPr="00534ECE" w:rsidRDefault="00534ECE" w:rsidP="00534E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4ECE" w:rsidRPr="00534ECE" w:rsidRDefault="00534ECE" w:rsidP="00534E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4ECE" w:rsidRPr="00534ECE" w:rsidRDefault="00534ECE" w:rsidP="00534E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4ECE" w:rsidRPr="00534ECE" w:rsidRDefault="00534ECE" w:rsidP="00534E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4ECE" w:rsidRPr="00534ECE" w:rsidRDefault="00534ECE" w:rsidP="00534E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4ECE" w:rsidRPr="00534ECE" w:rsidRDefault="00534ECE" w:rsidP="00534E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57" w:type="dxa"/>
            <w:vAlign w:val="center"/>
          </w:tcPr>
          <w:p w:rsidR="00534ECE" w:rsidRPr="00534ECE" w:rsidRDefault="00534ECE" w:rsidP="00534ECE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>соблюдение норматива расходов на содержание ОМС поселения</w:t>
            </w:r>
          </w:p>
        </w:tc>
        <w:tc>
          <w:tcPr>
            <w:tcW w:w="2159" w:type="dxa"/>
            <w:vAlign w:val="center"/>
          </w:tcPr>
          <w:p w:rsidR="00534ECE" w:rsidRPr="00534ECE" w:rsidRDefault="00534ECE" w:rsidP="00534ECE">
            <w:pPr>
              <w:spacing w:after="120" w:line="240" w:lineRule="auto"/>
              <w:ind w:left="283" w:right="-2"/>
              <w:rPr>
                <w:rFonts w:ascii="Times New Roman" w:eastAsia="Times New Roman" w:hAnsi="Times New Roman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lang w:eastAsia="ru-RU"/>
              </w:rPr>
              <w:t xml:space="preserve">проект постановления администрации Волгоградской области (в соответствии с </w:t>
            </w:r>
            <w:proofErr w:type="spellStart"/>
            <w:r w:rsidRPr="00534ECE">
              <w:rPr>
                <w:rFonts w:ascii="Times New Roman" w:eastAsia="Times New Roman" w:hAnsi="Times New Roman"/>
                <w:lang w:eastAsia="ru-RU"/>
              </w:rPr>
              <w:t>постан</w:t>
            </w:r>
            <w:proofErr w:type="spellEnd"/>
            <w:r w:rsidRPr="00534ECE">
              <w:rPr>
                <w:rFonts w:ascii="Times New Roman" w:eastAsia="Times New Roman" w:hAnsi="Times New Roman"/>
                <w:lang w:eastAsia="ru-RU"/>
              </w:rPr>
              <w:t>. от 12.12.22г. №760-п)</w:t>
            </w:r>
          </w:p>
        </w:tc>
        <w:tc>
          <w:tcPr>
            <w:tcW w:w="3653" w:type="dxa"/>
            <w:gridSpan w:val="3"/>
            <w:vAlign w:val="center"/>
          </w:tcPr>
          <w:p w:rsidR="00534ECE" w:rsidRPr="00534ECE" w:rsidRDefault="00534ECE" w:rsidP="00534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2024г.- 2537,0 т. р. или 99,8% от установленного норматива (2541,0 т. р) без учета субвенций (1,9 т. р) </w:t>
            </w:r>
          </w:p>
          <w:p w:rsidR="00534ECE" w:rsidRPr="00534ECE" w:rsidRDefault="00534ECE" w:rsidP="00534EC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34ECE" w:rsidRPr="00534ECE" w:rsidRDefault="00534ECE" w:rsidP="00534EC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34ECE" w:rsidRPr="00534ECE" w:rsidRDefault="00534ECE" w:rsidP="00534EC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34ECE" w:rsidRPr="00534ECE" w:rsidTr="00D87775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570" w:type="dxa"/>
            <w:vAlign w:val="center"/>
          </w:tcPr>
          <w:p w:rsidR="00534ECE" w:rsidRPr="00534ECE" w:rsidRDefault="00534ECE" w:rsidP="00534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57" w:type="dxa"/>
            <w:vAlign w:val="center"/>
          </w:tcPr>
          <w:p w:rsidR="00534ECE" w:rsidRPr="00534ECE" w:rsidRDefault="00534ECE" w:rsidP="00534ECE">
            <w:pPr>
              <w:spacing w:after="120" w:line="240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lang w:eastAsia="ru-RU"/>
              </w:rPr>
              <w:t>Программа муниципальных заимствований</w:t>
            </w:r>
          </w:p>
        </w:tc>
        <w:tc>
          <w:tcPr>
            <w:tcW w:w="2159" w:type="dxa"/>
            <w:vAlign w:val="center"/>
          </w:tcPr>
          <w:p w:rsidR="00534ECE" w:rsidRPr="00534ECE" w:rsidRDefault="00534ECE" w:rsidP="00534ECE">
            <w:pPr>
              <w:spacing w:after="120" w:line="240" w:lineRule="auto"/>
              <w:ind w:right="-2"/>
              <w:rPr>
                <w:rFonts w:ascii="Times New Roman" w:eastAsia="Times New Roman" w:hAnsi="Times New Roman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lang w:eastAsia="ru-RU"/>
              </w:rPr>
              <w:t>ст. 110.1 БК РФ</w:t>
            </w:r>
          </w:p>
        </w:tc>
        <w:tc>
          <w:tcPr>
            <w:tcW w:w="3653" w:type="dxa"/>
            <w:gridSpan w:val="3"/>
            <w:vAlign w:val="center"/>
          </w:tcPr>
          <w:p w:rsidR="00534ECE" w:rsidRPr="00534ECE" w:rsidRDefault="00534ECE" w:rsidP="00534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lang w:eastAsia="ru-RU"/>
              </w:rPr>
              <w:t>2024-2026гг.</w:t>
            </w:r>
            <w:r w:rsidRPr="00534ECE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gramStart"/>
            <w:r w:rsidRPr="00534ECE">
              <w:rPr>
                <w:rFonts w:ascii="Times New Roman" w:eastAsia="Times New Roman" w:hAnsi="Times New Roman"/>
                <w:lang w:eastAsia="ru-RU"/>
              </w:rPr>
              <w:t>–н</w:t>
            </w:r>
            <w:proofErr w:type="gramEnd"/>
            <w:r w:rsidRPr="00534ECE">
              <w:rPr>
                <w:rFonts w:ascii="Times New Roman" w:eastAsia="Times New Roman" w:hAnsi="Times New Roman"/>
                <w:lang w:eastAsia="ru-RU"/>
              </w:rPr>
              <w:t>улевые показатели</w:t>
            </w:r>
          </w:p>
        </w:tc>
      </w:tr>
      <w:tr w:rsidR="00534ECE" w:rsidRPr="00534ECE" w:rsidTr="00D87775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570" w:type="dxa"/>
            <w:vAlign w:val="center"/>
          </w:tcPr>
          <w:p w:rsidR="00534ECE" w:rsidRPr="00534ECE" w:rsidRDefault="00534ECE" w:rsidP="00534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57" w:type="dxa"/>
            <w:vAlign w:val="center"/>
          </w:tcPr>
          <w:p w:rsidR="00534ECE" w:rsidRPr="00534ECE" w:rsidRDefault="00534ECE" w:rsidP="00534ECE">
            <w:pPr>
              <w:spacing w:after="120" w:line="240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lang w:eastAsia="ru-RU"/>
              </w:rPr>
              <w:t>Программа муниципальных гарантий</w:t>
            </w:r>
          </w:p>
        </w:tc>
        <w:tc>
          <w:tcPr>
            <w:tcW w:w="2159" w:type="dxa"/>
            <w:vAlign w:val="center"/>
          </w:tcPr>
          <w:p w:rsidR="00534ECE" w:rsidRPr="00534ECE" w:rsidRDefault="00534ECE" w:rsidP="00534ECE">
            <w:pPr>
              <w:spacing w:after="120" w:line="240" w:lineRule="auto"/>
              <w:ind w:left="283" w:right="-2"/>
              <w:rPr>
                <w:rFonts w:ascii="Times New Roman" w:eastAsia="Times New Roman" w:hAnsi="Times New Roman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lang w:eastAsia="ru-RU"/>
              </w:rPr>
              <w:t>п.3 ст.110.2 БК РФ</w:t>
            </w:r>
          </w:p>
          <w:p w:rsidR="00534ECE" w:rsidRPr="00534ECE" w:rsidRDefault="00534ECE" w:rsidP="00534ECE">
            <w:pPr>
              <w:spacing w:after="120" w:line="240" w:lineRule="auto"/>
              <w:ind w:left="283" w:right="-2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53" w:type="dxa"/>
            <w:gridSpan w:val="3"/>
            <w:vAlign w:val="center"/>
          </w:tcPr>
          <w:p w:rsidR="00534ECE" w:rsidRPr="00534ECE" w:rsidRDefault="00534ECE" w:rsidP="00534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lang w:eastAsia="ru-RU"/>
              </w:rPr>
              <w:t>2024-2026гг.</w:t>
            </w:r>
            <w:r w:rsidRPr="00534ECE">
              <w:rPr>
                <w:rFonts w:ascii="Times New Roman" w:eastAsia="Times New Roman" w:hAnsi="Times New Roman"/>
                <w:b/>
                <w:lang w:eastAsia="ru-RU"/>
              </w:rPr>
              <w:t xml:space="preserve">– </w:t>
            </w:r>
            <w:r w:rsidRPr="00534ECE">
              <w:rPr>
                <w:rFonts w:ascii="Times New Roman" w:eastAsia="Times New Roman" w:hAnsi="Times New Roman"/>
                <w:lang w:eastAsia="ru-RU"/>
              </w:rPr>
              <w:t>нулевые показатели</w:t>
            </w:r>
          </w:p>
        </w:tc>
      </w:tr>
      <w:tr w:rsidR="00534ECE" w:rsidRPr="00534ECE" w:rsidTr="00D87775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570" w:type="dxa"/>
            <w:vAlign w:val="center"/>
          </w:tcPr>
          <w:p w:rsidR="00534ECE" w:rsidRPr="00534ECE" w:rsidRDefault="00534ECE" w:rsidP="00534ECE">
            <w:pPr>
              <w:spacing w:after="120" w:line="240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57" w:type="dxa"/>
            <w:vAlign w:val="center"/>
          </w:tcPr>
          <w:p w:rsidR="00534ECE" w:rsidRPr="00534ECE" w:rsidRDefault="00534ECE" w:rsidP="00534ECE">
            <w:pPr>
              <w:spacing w:after="120" w:line="240" w:lineRule="auto"/>
              <w:ind w:right="-2"/>
              <w:rPr>
                <w:rFonts w:ascii="Times New Roman" w:eastAsia="Times New Roman" w:hAnsi="Times New Roman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lang w:eastAsia="ru-RU"/>
              </w:rPr>
              <w:t>Предельная штатная численность муниципальных служащих</w:t>
            </w:r>
          </w:p>
        </w:tc>
        <w:tc>
          <w:tcPr>
            <w:tcW w:w="2159" w:type="dxa"/>
            <w:vAlign w:val="center"/>
          </w:tcPr>
          <w:p w:rsidR="00534ECE" w:rsidRPr="00534ECE" w:rsidRDefault="00534ECE" w:rsidP="00534ECE">
            <w:pPr>
              <w:spacing w:after="120" w:line="240" w:lineRule="auto"/>
              <w:ind w:right="-2"/>
              <w:rPr>
                <w:rFonts w:ascii="Times New Roman" w:eastAsia="Times New Roman" w:hAnsi="Times New Roman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lang w:eastAsia="ru-RU"/>
              </w:rPr>
              <w:t xml:space="preserve">проект решения о бюджете </w:t>
            </w:r>
            <w:proofErr w:type="spellStart"/>
            <w:r w:rsidRPr="00534ECE">
              <w:rPr>
                <w:rFonts w:ascii="Times New Roman" w:eastAsia="Times New Roman" w:hAnsi="Times New Roman"/>
                <w:lang w:eastAsia="ru-RU"/>
              </w:rPr>
              <w:t>сп</w:t>
            </w:r>
            <w:proofErr w:type="spellEnd"/>
            <w:r w:rsidRPr="00534ECE">
              <w:rPr>
                <w:rFonts w:ascii="Times New Roman" w:eastAsia="Times New Roman" w:hAnsi="Times New Roman"/>
                <w:lang w:eastAsia="ru-RU"/>
              </w:rPr>
              <w:t xml:space="preserve"> 2024- 2026гг.</w:t>
            </w:r>
          </w:p>
        </w:tc>
        <w:tc>
          <w:tcPr>
            <w:tcW w:w="3653" w:type="dxa"/>
            <w:gridSpan w:val="3"/>
          </w:tcPr>
          <w:p w:rsidR="00534ECE" w:rsidRPr="00534ECE" w:rsidRDefault="00534ECE" w:rsidP="00534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34ECE">
              <w:rPr>
                <w:rFonts w:ascii="Times New Roman" w:eastAsia="Times New Roman" w:hAnsi="Times New Roman"/>
                <w:lang w:eastAsia="ru-RU"/>
              </w:rPr>
              <w:t>3 человека</w:t>
            </w:r>
          </w:p>
        </w:tc>
      </w:tr>
    </w:tbl>
    <w:p w:rsidR="00534ECE" w:rsidRPr="00534ECE" w:rsidRDefault="00534ECE" w:rsidP="00534ECE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4E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34ECE" w:rsidRPr="00534ECE" w:rsidRDefault="00534ECE" w:rsidP="00534ECE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534ECE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Выводы по результатам проверки:</w:t>
      </w:r>
    </w:p>
    <w:p w:rsidR="00534ECE" w:rsidRPr="00534ECE" w:rsidRDefault="00534ECE" w:rsidP="00534E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E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По результатам экспертизы проекта «О бюджете Солонцовского сельского поселения</w:t>
      </w:r>
      <w:r w:rsidRPr="00534ECE"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Алексеевского муниципального района</w:t>
      </w:r>
      <w:r w:rsidRPr="00534E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34ECE">
        <w:rPr>
          <w:rFonts w:ascii="Times New Roman" w:eastAsia="Times New Roman" w:hAnsi="Times New Roman"/>
          <w:sz w:val="24"/>
          <w:szCs w:val="24"/>
          <w:lang w:eastAsia="ru-RU"/>
        </w:rPr>
        <w:t>на 2024 год и плановый период 2025 и 2026 годов», проведенной Контрольно-счетной комиссией, можно сделать следующие выводы:</w:t>
      </w:r>
    </w:p>
    <w:p w:rsidR="00534ECE" w:rsidRPr="00534ECE" w:rsidRDefault="00534ECE" w:rsidP="00534E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EC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534ECE" w:rsidRPr="00534ECE" w:rsidRDefault="00534ECE" w:rsidP="00534E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EC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-Бюджет составлен сроком на три года - очередной финансовый год и плановый период в соответствии со статьей 169 БК РФ; </w:t>
      </w:r>
    </w:p>
    <w:p w:rsidR="00534ECE" w:rsidRPr="00534ECE" w:rsidRDefault="00534ECE" w:rsidP="00534E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EC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-Проект бюджета содержит основные характеристики, установленные статьей 184.1 БК РФ;</w:t>
      </w:r>
    </w:p>
    <w:p w:rsidR="00534ECE" w:rsidRPr="00534ECE" w:rsidRDefault="00534ECE" w:rsidP="00534EC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4EC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-Доходная часть бюджета сформирована на </w:t>
      </w:r>
      <w:proofErr w:type="gramStart"/>
      <w:r w:rsidRPr="00534ECE">
        <w:rPr>
          <w:rFonts w:ascii="Times New Roman" w:eastAsia="Times New Roman" w:hAnsi="Times New Roman"/>
          <w:sz w:val="24"/>
          <w:szCs w:val="24"/>
          <w:lang w:eastAsia="ru-RU"/>
        </w:rPr>
        <w:t>основании</w:t>
      </w:r>
      <w:proofErr w:type="gramEnd"/>
      <w:r w:rsidRPr="00534EC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прогноза социально-экономического развития Солонцовского сельского поселения Алексеевского муниципального района на 2024-2026 годы в соответствии со статьей 174.1 БК РФ;</w:t>
      </w:r>
      <w:r w:rsidRPr="00534E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534ECE" w:rsidRPr="00534ECE" w:rsidRDefault="00534ECE" w:rsidP="00534EC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4E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- Прогноз социально-экономического развития Солонцовского сельского поселения на 2024 год и плановый период 2025 и 2026 годов, одобрен постановлением Солонцовского сельского поселения от 13.11.2023г. № 52/1, то есть с нарушением положения пункта 3 статьи 173 БК РФ на 1 день. Решение о внесении проекта бюджета на 2024 год и плановый период 2025 и 2026 годов Солонцовского сельского поселения в Думу сельского поселения для его рассмотрения было принято распоряжением сельского поселения от 14.11.2023г. № 40;</w:t>
      </w:r>
    </w:p>
    <w:p w:rsidR="00534ECE" w:rsidRPr="00534ECE" w:rsidRDefault="00534ECE" w:rsidP="00534EC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534E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- На основании представленных расчетов по налоговым доходам, доходы  на 2024 год спрогнозированы обоснованно;</w:t>
      </w:r>
    </w:p>
    <w:p w:rsidR="00534ECE" w:rsidRPr="00534ECE" w:rsidRDefault="00534ECE" w:rsidP="00534E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EC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-Основные направления бюджетной и налоговой политики Солонцовского сельского поселения Алексеевского муниципального района соответствуют направлениям экономического развития Алексеевского муниципального района;</w:t>
      </w:r>
    </w:p>
    <w:p w:rsidR="00534ECE" w:rsidRPr="00534ECE" w:rsidRDefault="00534ECE" w:rsidP="00534ECE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EC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-Документы и материалы,  представляемые одновременно с проектом бюджета, установленные статьей 184.2 БК РФ в основном предоставлены.</w:t>
      </w:r>
    </w:p>
    <w:p w:rsidR="00534ECE" w:rsidRPr="00534ECE" w:rsidRDefault="00534ECE" w:rsidP="00534ECE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4ECE" w:rsidRPr="00534ECE" w:rsidRDefault="00534ECE" w:rsidP="00534EC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4E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основании </w:t>
      </w:r>
      <w:proofErr w:type="gramStart"/>
      <w:r w:rsidRPr="00534E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изложенного</w:t>
      </w:r>
      <w:proofErr w:type="gramEnd"/>
      <w:r w:rsidRPr="00534E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34EC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Контрольно-счетная комиссия предлагает</w:t>
      </w:r>
      <w:r w:rsidRPr="00534E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534ECE" w:rsidRPr="00534ECE" w:rsidRDefault="00534ECE" w:rsidP="00534EC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4EC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Думе Солонцовского сельского поселения Алексеевского муниципального района</w:t>
      </w:r>
      <w:r w:rsidRPr="00534E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 утверждении местного бюджета на 2024 год и плановый период 2025 и 2026 годов предусмотреть следующие рекомендации </w:t>
      </w:r>
      <w:r w:rsidRPr="00534EC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главе Солонцовского сельского поселения Алексеевского муниципального района:</w:t>
      </w:r>
    </w:p>
    <w:p w:rsidR="00534ECE" w:rsidRPr="00534ECE" w:rsidRDefault="00534ECE" w:rsidP="00534ECE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</w:p>
    <w:p w:rsidR="00534ECE" w:rsidRPr="00534ECE" w:rsidRDefault="00534ECE" w:rsidP="00534EC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4ECE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       </w:t>
      </w:r>
      <w:r w:rsidRPr="00534ECE">
        <w:rPr>
          <w:rFonts w:ascii="Times New Roman" w:eastAsia="Times New Roman" w:hAnsi="Times New Roman"/>
          <w:sz w:val="24"/>
          <w:szCs w:val="24"/>
          <w:lang w:eastAsia="ru-RU"/>
        </w:rPr>
        <w:t xml:space="preserve">1. Решение о местном бюджете на 2024-2026 годы </w:t>
      </w:r>
      <w:r w:rsidRPr="00534EC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принять</w:t>
      </w:r>
      <w:r w:rsidRPr="00534ECE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 утверждения районного бюджете в рамках законности межбюджетных отношений.</w:t>
      </w:r>
    </w:p>
    <w:p w:rsidR="00534ECE" w:rsidRPr="00534ECE" w:rsidRDefault="00534ECE" w:rsidP="00534E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ECE">
        <w:rPr>
          <w:rFonts w:ascii="Times New Roman" w:eastAsia="Times New Roman" w:hAnsi="Times New Roman"/>
          <w:sz w:val="24"/>
          <w:szCs w:val="24"/>
          <w:lang w:eastAsia="ru-RU"/>
        </w:rPr>
        <w:t>2. В текстовой части проекта решения о бюджете поселения Приложение 1:</w:t>
      </w:r>
    </w:p>
    <w:p w:rsidR="00534ECE" w:rsidRPr="00534ECE" w:rsidRDefault="00534ECE" w:rsidP="00534E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ECE">
        <w:rPr>
          <w:rFonts w:ascii="Times New Roman" w:eastAsia="Times New Roman" w:hAnsi="Times New Roman"/>
          <w:sz w:val="24"/>
          <w:szCs w:val="24"/>
          <w:lang w:eastAsia="ru-RU"/>
        </w:rPr>
        <w:t>- в пункте 1 убрать слова «прогнозируемый»;</w:t>
      </w:r>
    </w:p>
    <w:p w:rsidR="00534ECE" w:rsidRPr="00534ECE" w:rsidRDefault="00534ECE" w:rsidP="00534E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ECE">
        <w:rPr>
          <w:rFonts w:ascii="Times New Roman" w:eastAsia="Times New Roman" w:hAnsi="Times New Roman"/>
          <w:sz w:val="24"/>
          <w:szCs w:val="24"/>
          <w:lang w:eastAsia="ru-RU"/>
        </w:rPr>
        <w:t>- в пункт 2 вместо нулевых показателей добавить на 2024 год 80, 0 тыс. руб. и плановый период 2025 и 2026 годов по 80,0 тыс. руб.;</w:t>
      </w:r>
    </w:p>
    <w:p w:rsidR="00534ECE" w:rsidRPr="00534ECE" w:rsidRDefault="00534ECE" w:rsidP="00534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EC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- исключить пункт 5 и соответственно таблицу № 1 Приложения № 1;</w:t>
      </w:r>
    </w:p>
    <w:p w:rsidR="00534ECE" w:rsidRPr="00534ECE" w:rsidRDefault="00534ECE" w:rsidP="00534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EC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- исключить пункт 6 и соответственно таблицу № 2 Приложения №1;</w:t>
      </w:r>
    </w:p>
    <w:p w:rsidR="00534ECE" w:rsidRPr="00534ECE" w:rsidRDefault="00534ECE" w:rsidP="00534E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ECE">
        <w:rPr>
          <w:rFonts w:ascii="Times New Roman" w:eastAsia="Times New Roman" w:hAnsi="Times New Roman"/>
          <w:sz w:val="23"/>
          <w:szCs w:val="23"/>
          <w:lang w:eastAsia="ru-RU"/>
        </w:rPr>
        <w:t xml:space="preserve">         -  исключить пункт 7 и соответственно таблицу № 3 Приложения № 1;</w:t>
      </w:r>
    </w:p>
    <w:p w:rsidR="00534ECE" w:rsidRPr="00534ECE" w:rsidRDefault="00534ECE" w:rsidP="00534E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ECE">
        <w:rPr>
          <w:rFonts w:ascii="Times New Roman" w:eastAsia="Times New Roman" w:hAnsi="Times New Roman"/>
          <w:sz w:val="24"/>
          <w:szCs w:val="24"/>
          <w:lang w:eastAsia="ru-RU"/>
        </w:rPr>
        <w:t xml:space="preserve">- в пункте 8 слово «учесть» </w:t>
      </w:r>
      <w:proofErr w:type="gramStart"/>
      <w:r w:rsidRPr="00534ECE">
        <w:rPr>
          <w:rFonts w:ascii="Times New Roman" w:eastAsia="Times New Roman" w:hAnsi="Times New Roman"/>
          <w:sz w:val="24"/>
          <w:szCs w:val="24"/>
          <w:lang w:eastAsia="ru-RU"/>
        </w:rPr>
        <w:t>заменить на утвердить</w:t>
      </w:r>
      <w:proofErr w:type="gramEnd"/>
      <w:r w:rsidRPr="00534EC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34ECE" w:rsidRPr="00534ECE" w:rsidRDefault="00534ECE" w:rsidP="00534EC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4EC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- пункт 16 и </w:t>
      </w:r>
      <w:r w:rsidRPr="00534E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таблицу № 10  приложения № 1 привести в соответствие с Бюджетным кодексом РФ – слова «ведомственные целевые программы» исключить;</w:t>
      </w:r>
    </w:p>
    <w:p w:rsidR="00534ECE" w:rsidRPr="00534ECE" w:rsidRDefault="00534ECE" w:rsidP="00534E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ECE">
        <w:rPr>
          <w:rFonts w:ascii="Times New Roman" w:eastAsia="Times New Roman" w:hAnsi="Times New Roman"/>
          <w:sz w:val="24"/>
          <w:szCs w:val="24"/>
          <w:lang w:eastAsia="ru-RU"/>
        </w:rPr>
        <w:t>- пункты 25-32 исключить.</w:t>
      </w:r>
    </w:p>
    <w:p w:rsidR="00534ECE" w:rsidRPr="00534ECE" w:rsidRDefault="00534ECE" w:rsidP="00534E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ECE">
        <w:rPr>
          <w:rFonts w:ascii="Times New Roman" w:eastAsia="Times New Roman" w:hAnsi="Times New Roman"/>
          <w:sz w:val="24"/>
          <w:szCs w:val="24"/>
          <w:lang w:eastAsia="ru-RU"/>
        </w:rPr>
        <w:t>2.1. Каждую таблицу оформлять отдельным листом;</w:t>
      </w:r>
    </w:p>
    <w:p w:rsidR="00534ECE" w:rsidRPr="00534ECE" w:rsidRDefault="00534ECE" w:rsidP="00534E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ECE">
        <w:rPr>
          <w:rFonts w:ascii="Times New Roman" w:eastAsia="Times New Roman" w:hAnsi="Times New Roman"/>
          <w:sz w:val="24"/>
          <w:szCs w:val="24"/>
          <w:lang w:eastAsia="ru-RU"/>
        </w:rPr>
        <w:t>2.2. Название таблицы № 6 приложения № 1 к настоящему решению заменить на «Распределение бюджетных ассигнований из бюджета Солонцовского сельского поселения на 2024-2026 годы по разделам и подразделам, целевым статьям и видам расходов классификации бюджетов Российской Федерации».</w:t>
      </w:r>
    </w:p>
    <w:p w:rsidR="00534ECE" w:rsidRPr="00534ECE" w:rsidRDefault="00534ECE" w:rsidP="00534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4EC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proofErr w:type="gramStart"/>
      <w:r w:rsidRPr="00534ECE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534E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Наименование разделов и подразделов функциональной и ведомственной классификации расходов </w:t>
      </w:r>
      <w:r w:rsidRPr="00534ECE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указывать </w:t>
      </w:r>
      <w:r w:rsidRPr="00534E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требованиями статьи 21 БК РФ, Инструкцией 82н (таблица № 5, 6, 7 подраздел 0310 «З</w:t>
      </w:r>
      <w:r w:rsidRPr="00534ECE">
        <w:rPr>
          <w:rFonts w:ascii="Times New Roman" w:eastAsia="Times New Roman" w:hAnsi="Times New Roman"/>
          <w:sz w:val="24"/>
          <w:szCs w:val="24"/>
          <w:lang w:eastAsia="ru-RU"/>
        </w:rPr>
        <w:t>ащита населения и территории от чрезвычайных ситуаций природного и техногенного характера, пожарная безопасность</w:t>
      </w:r>
      <w:r w:rsidRPr="00534E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», таблица № 6,7 подраздел 1105 «Другие вопросы в области физической культуры и спорта»).</w:t>
      </w:r>
      <w:proofErr w:type="gramEnd"/>
    </w:p>
    <w:p w:rsidR="00534ECE" w:rsidRPr="00534ECE" w:rsidRDefault="00534ECE" w:rsidP="00534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4E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4.Условно утвержденные расходы отражать в ведомственной классификации расходов на плановый период по подразделу ФКР 0113.  </w:t>
      </w:r>
    </w:p>
    <w:p w:rsidR="00534ECE" w:rsidRPr="00534ECE" w:rsidRDefault="00534ECE" w:rsidP="00534E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E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</w:t>
      </w:r>
      <w:r w:rsidRPr="00534ECE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Постановление администрации Солонцовского сельского поселения об утверждении ведомственной целевой программы № 52 от 13.11.2023г. привести в соответствие Бюджетным кодексом РФ: слова «ведомственная целевая программа» заменить на «муниципальная программа».</w:t>
      </w:r>
    </w:p>
    <w:p w:rsidR="00534ECE" w:rsidRPr="00534ECE" w:rsidRDefault="00534ECE" w:rsidP="00534E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</w:rPr>
      </w:pPr>
      <w:r w:rsidRPr="00534ECE">
        <w:rPr>
          <w:rFonts w:ascii="Times New Roman" w:eastAsia="Times New Roman" w:hAnsi="Times New Roman"/>
          <w:sz w:val="23"/>
          <w:szCs w:val="23"/>
        </w:rPr>
        <w:t>6. Рекомендовать  в Положение о бюджетном процессе Солонцовского сельского поселения внести изменения:</w:t>
      </w:r>
    </w:p>
    <w:p w:rsidR="00534ECE" w:rsidRPr="00534ECE" w:rsidRDefault="00534ECE" w:rsidP="00534ECE">
      <w:pPr>
        <w:spacing w:after="120" w:line="240" w:lineRule="auto"/>
        <w:ind w:left="283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534ECE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в </w:t>
      </w:r>
      <w:proofErr w:type="spellStart"/>
      <w:r w:rsidRPr="00534ECE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абз</w:t>
      </w:r>
      <w:proofErr w:type="spellEnd"/>
      <w:r w:rsidRPr="00534ECE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12 п. 2 ст. 16 исключить слова «…, а также ведомственных целевых программ». </w:t>
      </w:r>
    </w:p>
    <w:p w:rsidR="00534ECE" w:rsidRPr="00534ECE" w:rsidRDefault="00534ECE" w:rsidP="00534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34ECE" w:rsidRPr="00534ECE" w:rsidRDefault="00534ECE" w:rsidP="00534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34EC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</w:t>
      </w:r>
      <w:r w:rsidRPr="00534EC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Контрольно-счетная комиссия рекомендует </w:t>
      </w:r>
      <w:proofErr w:type="spellStart"/>
      <w:r w:rsidRPr="00534EC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Солонцовскому</w:t>
      </w:r>
      <w:proofErr w:type="spellEnd"/>
      <w:r w:rsidRPr="00534EC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сельскому поселению:</w:t>
      </w:r>
    </w:p>
    <w:p w:rsidR="00534ECE" w:rsidRPr="00534ECE" w:rsidRDefault="00534ECE" w:rsidP="00534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EC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1.Соблюдать бюджетное законодательство при составлении, рассмотрении и утверждении проекта решения о бюджете муниципального образования. Соблюдать  БК РФ, Положение о бюджетном процессе в</w:t>
      </w:r>
      <w:r w:rsidRPr="00534EC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534ECE">
        <w:rPr>
          <w:rFonts w:ascii="Times New Roman" w:eastAsia="Times New Roman" w:hAnsi="Times New Roman"/>
          <w:sz w:val="24"/>
          <w:szCs w:val="24"/>
          <w:lang w:eastAsia="ru-RU"/>
        </w:rPr>
        <w:t>Солонцовском сельском поселении Алексеевского муниципального района.</w:t>
      </w:r>
    </w:p>
    <w:p w:rsidR="00534ECE" w:rsidRPr="00534ECE" w:rsidRDefault="00534ECE" w:rsidP="00534E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EC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2.Увеличть долю расходов за счет программной части. </w:t>
      </w:r>
    </w:p>
    <w:p w:rsidR="00534ECE" w:rsidRPr="00534ECE" w:rsidRDefault="00534ECE" w:rsidP="00534ECE">
      <w:pPr>
        <w:spacing w:after="120" w:line="240" w:lineRule="auto"/>
        <w:ind w:left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4ECE">
        <w:rPr>
          <w:rFonts w:ascii="Times New Roman" w:eastAsia="Times New Roman" w:hAnsi="Times New Roman"/>
          <w:color w:val="333333"/>
          <w:sz w:val="24"/>
          <w:szCs w:val="20"/>
          <w:lang w:eastAsia="ru-RU"/>
        </w:rPr>
        <w:t xml:space="preserve">   3.</w:t>
      </w:r>
      <w:r w:rsidRPr="00534ECE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Активизировать работу по привлечению дополнительных доходов в бюджет поселения. </w:t>
      </w:r>
    </w:p>
    <w:p w:rsidR="00534ECE" w:rsidRPr="00534ECE" w:rsidRDefault="00534ECE" w:rsidP="00534E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4ECE" w:rsidRPr="00534ECE" w:rsidRDefault="00534ECE" w:rsidP="00534E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EC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gramStart"/>
      <w:r w:rsidRPr="00534ECE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Учитывая вышеизложенное, Контрольно-счетная комиссия Алексеевского муниципального района полагает, что предложенный проект решения Солонцовского сельского поселения Алексеевского муниципального района Волгоградской области «О бюджете Солонцовского сельского поселения на 2024 год и плановый период 2025 и 2026 годов» в целом соответствует нормам и положениям бюджетного законодательства РФ и может быть принят к рассмотрению с учетом выше указанных рекомендаций. </w:t>
      </w:r>
      <w:proofErr w:type="gramEnd"/>
    </w:p>
    <w:p w:rsidR="00534ECE" w:rsidRPr="00534ECE" w:rsidRDefault="00534ECE" w:rsidP="00534E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4ECE" w:rsidRPr="00534ECE" w:rsidRDefault="00534ECE" w:rsidP="00534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4ECE" w:rsidRPr="00534ECE" w:rsidRDefault="00534ECE" w:rsidP="00534ECE">
      <w:pPr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34ECE" w:rsidRPr="00534ECE" w:rsidRDefault="00534ECE" w:rsidP="00534ECE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4ECE" w:rsidRPr="00534ECE" w:rsidRDefault="00534ECE" w:rsidP="00534ECE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4ECE" w:rsidRPr="00534ECE" w:rsidRDefault="00534ECE" w:rsidP="00534ECE">
      <w:pPr>
        <w:tabs>
          <w:tab w:val="left" w:pos="1920"/>
        </w:tabs>
        <w:spacing w:after="120" w:line="240" w:lineRule="auto"/>
        <w:ind w:left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4E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Председатель Контрольно-счетной комиссии   </w:t>
      </w:r>
    </w:p>
    <w:p w:rsidR="00534ECE" w:rsidRPr="00534ECE" w:rsidRDefault="00534ECE" w:rsidP="00534ECE">
      <w:pPr>
        <w:tabs>
          <w:tab w:val="left" w:pos="1920"/>
        </w:tabs>
        <w:spacing w:after="120" w:line="240" w:lineRule="auto"/>
        <w:ind w:left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4E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Алексеевского муниципального района                                                             М.Н. Рябова</w:t>
      </w:r>
    </w:p>
    <w:p w:rsidR="00534ECE" w:rsidRPr="00534ECE" w:rsidRDefault="00534ECE" w:rsidP="00534ECE">
      <w:pPr>
        <w:tabs>
          <w:tab w:val="left" w:pos="1920"/>
        </w:tabs>
        <w:spacing w:after="120" w:line="240" w:lineRule="auto"/>
        <w:ind w:left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34ECE" w:rsidRPr="00534ECE" w:rsidRDefault="00534ECE" w:rsidP="00534ECE">
      <w:pPr>
        <w:tabs>
          <w:tab w:val="left" w:pos="1920"/>
        </w:tabs>
        <w:spacing w:after="120" w:line="240" w:lineRule="auto"/>
        <w:ind w:left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34ECE" w:rsidRPr="00534ECE" w:rsidRDefault="00534ECE" w:rsidP="00534ECE">
      <w:pPr>
        <w:tabs>
          <w:tab w:val="left" w:pos="1920"/>
        </w:tabs>
        <w:spacing w:after="120" w:line="240" w:lineRule="auto"/>
        <w:ind w:left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4E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Экземпляр экспертизы 5 л получил __________/______________/__________</w:t>
      </w:r>
    </w:p>
    <w:p w:rsidR="00534ECE" w:rsidRPr="00534ECE" w:rsidRDefault="00534ECE" w:rsidP="00534ECE">
      <w:pPr>
        <w:tabs>
          <w:tab w:val="left" w:pos="1920"/>
        </w:tabs>
        <w:spacing w:after="120" w:line="240" w:lineRule="auto"/>
        <w:ind w:left="283"/>
        <w:rPr>
          <w:rFonts w:ascii="Times New Roman" w:eastAsia="Times New Roman" w:hAnsi="Times New Roman"/>
          <w:sz w:val="18"/>
          <w:szCs w:val="18"/>
          <w:lang w:eastAsia="ru-RU"/>
        </w:rPr>
      </w:pPr>
      <w:r w:rsidRPr="00534ECE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подпись                             Ф.И.О.                        дата</w:t>
      </w:r>
    </w:p>
    <w:p w:rsidR="00534ECE" w:rsidRPr="00534ECE" w:rsidRDefault="00534ECE" w:rsidP="00534EC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34ECE" w:rsidRDefault="00534ECE">
      <w:bookmarkStart w:id="0" w:name="_GoBack"/>
      <w:bookmarkEnd w:id="0"/>
    </w:p>
    <w:sectPr w:rsidR="00534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7A8"/>
    <w:rsid w:val="000337B8"/>
    <w:rsid w:val="000808D6"/>
    <w:rsid w:val="00270E2B"/>
    <w:rsid w:val="002B6414"/>
    <w:rsid w:val="00486F67"/>
    <w:rsid w:val="00534ECE"/>
    <w:rsid w:val="006547A9"/>
    <w:rsid w:val="00867D40"/>
    <w:rsid w:val="009A19A9"/>
    <w:rsid w:val="00A6064D"/>
    <w:rsid w:val="00D56D1E"/>
    <w:rsid w:val="00E9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7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77A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3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EC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7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77A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3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EC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6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2148</Words>
  <Characters>12246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/</vt:lpstr>
      <vt:lpstr/>
      <vt:lpstr/>
      <vt:lpstr>Р Е Ш Е Н И Е</vt:lpstr>
    </vt:vector>
  </TitlesOfParts>
  <Company/>
  <LinksUpToDate>false</LinksUpToDate>
  <CharactersWithSpaces>14366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2023-12-26T10:27:00Z</cp:lastPrinted>
  <dcterms:created xsi:type="dcterms:W3CDTF">2024-01-10T05:15:00Z</dcterms:created>
  <dcterms:modified xsi:type="dcterms:W3CDTF">2024-01-10T05:15:00Z</dcterms:modified>
</cp:coreProperties>
</file>